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60ED3" w14:textId="733754E3" w:rsidR="00225477" w:rsidRPr="0028688D" w:rsidRDefault="0028688D" w:rsidP="0028688D">
      <w:pPr>
        <w:ind w:right="-938"/>
        <w:rPr>
          <w:rFonts w:ascii="Arial" w:hAnsi="Arial" w:cs="Arial"/>
          <w:b/>
          <w:sz w:val="24"/>
          <w:szCs w:val="24"/>
        </w:rPr>
        <w:sectPr w:rsidR="00225477" w:rsidRPr="0028688D">
          <w:headerReference w:type="default" r:id="rId11"/>
          <w:pgSz w:w="11906" w:h="16838"/>
          <w:pgMar w:top="2209" w:right="2495" w:bottom="851" w:left="1418" w:header="335" w:footer="573" w:gutter="0"/>
          <w:cols w:space="720"/>
        </w:sectPr>
      </w:pPr>
      <w:r w:rsidRPr="0028688D">
        <w:rPr>
          <w:rFonts w:ascii="Arial" w:eastAsia="Arial" w:hAnsi="Arial" w:cs="Arial"/>
          <w:b/>
          <w:sz w:val="28"/>
        </w:rPr>
        <w:t>Appendix A – Spreading the Risk of Valuation Losses across the Local Government Sector to Reduce Volatility</w:t>
      </w:r>
    </w:p>
    <w:p w14:paraId="38D60ED4" w14:textId="77777777" w:rsidR="00306D21" w:rsidRPr="00E01A58" w:rsidRDefault="00306D21" w:rsidP="0028688D">
      <w:pPr>
        <w:ind w:right="-938"/>
        <w:rPr>
          <w:rFonts w:ascii="Arial" w:hAnsi="Arial" w:cs="Arial"/>
          <w:sz w:val="24"/>
          <w:szCs w:val="24"/>
        </w:rPr>
      </w:pPr>
    </w:p>
    <w:p w14:paraId="163A8590" w14:textId="78D1440D" w:rsidR="001425DB" w:rsidRPr="0028688D" w:rsidRDefault="0077CCC3" w:rsidP="0028688D">
      <w:pPr>
        <w:pStyle w:val="ListParagraph"/>
        <w:numPr>
          <w:ilvl w:val="0"/>
          <w:numId w:val="18"/>
        </w:numPr>
        <w:ind w:left="284" w:right="-938" w:hanging="284"/>
        <w:rPr>
          <w:rFonts w:ascii="Arial" w:eastAsia="Arial" w:hAnsi="Arial" w:cs="Arial"/>
          <w:szCs w:val="22"/>
        </w:rPr>
      </w:pPr>
      <w:r w:rsidRPr="0028688D">
        <w:rPr>
          <w:rFonts w:ascii="Arial" w:eastAsia="Arial" w:hAnsi="Arial" w:cs="Arial"/>
          <w:szCs w:val="22"/>
        </w:rPr>
        <w:t xml:space="preserve">The Local Government Association (LGA) welcomes the opportunity to </w:t>
      </w:r>
      <w:r w:rsidR="002714F1" w:rsidRPr="0028688D">
        <w:rPr>
          <w:rFonts w:ascii="Arial" w:eastAsia="Arial" w:hAnsi="Arial" w:cs="Arial"/>
          <w:szCs w:val="22"/>
        </w:rPr>
        <w:t xml:space="preserve">comment on </w:t>
      </w:r>
      <w:hyperlink r:id="rId12" w:history="1">
        <w:r w:rsidR="002714F1" w:rsidRPr="0028688D">
          <w:rPr>
            <w:rStyle w:val="Hyperlink"/>
            <w:rFonts w:ascii="Arial" w:eastAsia="Arial" w:hAnsi="Arial" w:cs="Arial"/>
            <w:szCs w:val="22"/>
          </w:rPr>
          <w:t>Technical paper 3: Spreading the Risk of Valuation Losses across the Local Government Sector to Reduce Volatility</w:t>
        </w:r>
        <w:r w:rsidRPr="0028688D">
          <w:rPr>
            <w:rStyle w:val="Hyperlink"/>
            <w:rFonts w:ascii="Arial" w:eastAsia="Arial" w:hAnsi="Arial" w:cs="Arial"/>
            <w:szCs w:val="22"/>
          </w:rPr>
          <w:t>.</w:t>
        </w:r>
      </w:hyperlink>
    </w:p>
    <w:p w14:paraId="7AAA3A80" w14:textId="77777777" w:rsidR="009120EB" w:rsidRPr="0028688D" w:rsidRDefault="009120EB" w:rsidP="0028688D">
      <w:pPr>
        <w:ind w:left="284" w:right="-938" w:hanging="284"/>
        <w:rPr>
          <w:rFonts w:ascii="Arial" w:hAnsi="Arial" w:cs="Arial"/>
          <w:szCs w:val="22"/>
        </w:rPr>
      </w:pPr>
    </w:p>
    <w:p w14:paraId="4CE17789" w14:textId="2C97289A" w:rsidR="009120EB" w:rsidRPr="0028688D" w:rsidRDefault="0077CCC3" w:rsidP="0028688D">
      <w:pPr>
        <w:pStyle w:val="ListParagraph"/>
        <w:numPr>
          <w:ilvl w:val="0"/>
          <w:numId w:val="18"/>
        </w:numPr>
        <w:ind w:left="284" w:right="-938" w:hanging="284"/>
        <w:rPr>
          <w:rFonts w:ascii="Arial" w:eastAsia="Arial" w:hAnsi="Arial" w:cs="Arial"/>
          <w:szCs w:val="22"/>
        </w:rPr>
      </w:pPr>
      <w:r w:rsidRPr="0028688D">
        <w:rPr>
          <w:rFonts w:ascii="Arial" w:eastAsia="Arial" w:hAnsi="Arial" w:cs="Arial"/>
          <w:szCs w:val="22"/>
        </w:rPr>
        <w:t>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w:t>
      </w:r>
    </w:p>
    <w:p w14:paraId="4BCF940A" w14:textId="3D0B74A4" w:rsidR="00662546" w:rsidRPr="0028688D" w:rsidRDefault="00662546" w:rsidP="0028688D">
      <w:pPr>
        <w:ind w:left="284" w:right="-938" w:hanging="284"/>
        <w:rPr>
          <w:rFonts w:ascii="Arial" w:hAnsi="Arial" w:cs="Arial"/>
          <w:szCs w:val="22"/>
        </w:rPr>
      </w:pPr>
    </w:p>
    <w:p w14:paraId="0EE68866" w14:textId="1E38EFF2" w:rsidR="00662546" w:rsidRPr="0028688D" w:rsidRDefault="0077CCC3" w:rsidP="0028688D">
      <w:pPr>
        <w:pStyle w:val="ListParagraph"/>
        <w:numPr>
          <w:ilvl w:val="0"/>
          <w:numId w:val="18"/>
        </w:numPr>
        <w:ind w:left="284" w:right="-938" w:hanging="284"/>
        <w:rPr>
          <w:rFonts w:ascii="Arial" w:eastAsia="Arial" w:hAnsi="Arial" w:cs="Arial"/>
          <w:i/>
          <w:szCs w:val="22"/>
        </w:rPr>
      </w:pPr>
      <w:r w:rsidRPr="0028688D">
        <w:rPr>
          <w:rFonts w:ascii="Arial" w:eastAsia="Arial" w:hAnsi="Arial" w:cs="Arial"/>
          <w:szCs w:val="22"/>
        </w:rPr>
        <w:t>This re</w:t>
      </w:r>
      <w:r w:rsidR="000D799F" w:rsidRPr="0028688D">
        <w:rPr>
          <w:rFonts w:ascii="Arial" w:eastAsia="Arial" w:hAnsi="Arial" w:cs="Arial"/>
          <w:szCs w:val="22"/>
        </w:rPr>
        <w:t xml:space="preserve">sponse has been approved by the </w:t>
      </w:r>
      <w:r w:rsidR="000D799F" w:rsidRPr="0028688D">
        <w:rPr>
          <w:rFonts w:ascii="Arial" w:eastAsia="Arial" w:hAnsi="Arial" w:cs="Arial"/>
          <w:i/>
          <w:szCs w:val="22"/>
        </w:rPr>
        <w:t>LGA</w:t>
      </w:r>
      <w:r w:rsidR="00525BAE" w:rsidRPr="0028688D">
        <w:rPr>
          <w:rFonts w:ascii="Arial" w:eastAsia="Arial" w:hAnsi="Arial" w:cs="Arial"/>
          <w:i/>
          <w:szCs w:val="22"/>
        </w:rPr>
        <w:t>’s</w:t>
      </w:r>
      <w:r w:rsidR="000D799F" w:rsidRPr="0028688D">
        <w:rPr>
          <w:rFonts w:ascii="Arial" w:eastAsia="Arial" w:hAnsi="Arial" w:cs="Arial"/>
          <w:i/>
          <w:szCs w:val="22"/>
        </w:rPr>
        <w:t xml:space="preserve"> Resources Board and Task and Finish Group on further Business Rates Retention</w:t>
      </w:r>
      <w:r w:rsidR="00E905D9" w:rsidRPr="0028688D">
        <w:rPr>
          <w:rFonts w:ascii="Arial" w:eastAsia="Arial" w:hAnsi="Arial" w:cs="Arial"/>
          <w:i/>
          <w:szCs w:val="22"/>
        </w:rPr>
        <w:t xml:space="preserve"> and the Fair Funding Review</w:t>
      </w:r>
      <w:r w:rsidRPr="0028688D">
        <w:rPr>
          <w:rFonts w:ascii="Arial" w:eastAsia="Arial" w:hAnsi="Arial" w:cs="Arial"/>
          <w:i/>
          <w:szCs w:val="22"/>
        </w:rPr>
        <w:t>.</w:t>
      </w:r>
    </w:p>
    <w:p w14:paraId="2C7A835C" w14:textId="77777777" w:rsidR="009120EB" w:rsidRPr="0028688D" w:rsidRDefault="009120EB" w:rsidP="0028688D">
      <w:pPr>
        <w:ind w:left="284" w:right="-938" w:hanging="284"/>
        <w:rPr>
          <w:rFonts w:ascii="Arial" w:hAnsi="Arial" w:cs="Arial"/>
          <w:i/>
          <w:szCs w:val="22"/>
        </w:rPr>
      </w:pPr>
    </w:p>
    <w:p w14:paraId="3F5494F0" w14:textId="086A32F0" w:rsidR="007C59BD" w:rsidRPr="0028688D" w:rsidRDefault="000D799F" w:rsidP="0028688D">
      <w:pPr>
        <w:pStyle w:val="ListParagraph"/>
        <w:numPr>
          <w:ilvl w:val="0"/>
          <w:numId w:val="18"/>
        </w:numPr>
        <w:ind w:left="284" w:right="-938" w:hanging="284"/>
        <w:rPr>
          <w:rFonts w:ascii="Arial" w:eastAsia="Arial,Arial Unicode MS" w:hAnsi="Arial" w:cs="Arial"/>
          <w:color w:val="000000" w:themeColor="text1"/>
          <w:szCs w:val="22"/>
          <w:lang w:eastAsia="en-GB"/>
        </w:rPr>
      </w:pPr>
      <w:r w:rsidRPr="0028688D">
        <w:rPr>
          <w:rFonts w:ascii="Arial" w:eastAsia="Arial" w:hAnsi="Arial" w:cs="Arial"/>
          <w:szCs w:val="22"/>
        </w:rPr>
        <w:t>The LGA is continuing to work with Government officials on the implementation</w:t>
      </w:r>
      <w:r w:rsidR="0024506A" w:rsidRPr="0028688D">
        <w:rPr>
          <w:rFonts w:ascii="Arial" w:eastAsia="Arial" w:hAnsi="Arial" w:cs="Arial"/>
          <w:szCs w:val="22"/>
        </w:rPr>
        <w:t>, from 1 April 2020,</w:t>
      </w:r>
      <w:r w:rsidRPr="0028688D">
        <w:rPr>
          <w:rFonts w:ascii="Arial" w:eastAsia="Arial" w:hAnsi="Arial" w:cs="Arial"/>
          <w:szCs w:val="22"/>
        </w:rPr>
        <w:t xml:space="preserve"> of 75 per cent business rates retention. The issue of appeals, which is covered by this </w:t>
      </w:r>
      <w:r w:rsidR="00615AFF" w:rsidRPr="0028688D">
        <w:rPr>
          <w:rFonts w:ascii="Arial" w:eastAsia="Arial" w:hAnsi="Arial" w:cs="Arial"/>
          <w:szCs w:val="22"/>
        </w:rPr>
        <w:t>submission</w:t>
      </w:r>
      <w:r w:rsidRPr="0028688D">
        <w:rPr>
          <w:rFonts w:ascii="Arial" w:eastAsia="Arial" w:hAnsi="Arial" w:cs="Arial"/>
          <w:szCs w:val="22"/>
        </w:rPr>
        <w:t xml:space="preserve">, is a major risk issue for </w:t>
      </w:r>
      <w:r w:rsidR="00AE4CC0" w:rsidRPr="0028688D">
        <w:rPr>
          <w:rFonts w:ascii="Arial" w:eastAsia="Arial" w:hAnsi="Arial" w:cs="Arial"/>
          <w:szCs w:val="22"/>
        </w:rPr>
        <w:t>l</w:t>
      </w:r>
      <w:r w:rsidRPr="0028688D">
        <w:rPr>
          <w:rFonts w:ascii="Arial" w:eastAsia="Arial" w:hAnsi="Arial" w:cs="Arial"/>
          <w:szCs w:val="22"/>
        </w:rPr>
        <w:t xml:space="preserve">ocal </w:t>
      </w:r>
      <w:r w:rsidR="00AE4CC0" w:rsidRPr="0028688D">
        <w:rPr>
          <w:rFonts w:ascii="Arial" w:eastAsia="Arial" w:hAnsi="Arial" w:cs="Arial"/>
          <w:szCs w:val="22"/>
        </w:rPr>
        <w:t>g</w:t>
      </w:r>
      <w:r w:rsidRPr="0028688D">
        <w:rPr>
          <w:rFonts w:ascii="Arial" w:eastAsia="Arial" w:hAnsi="Arial" w:cs="Arial"/>
          <w:szCs w:val="22"/>
        </w:rPr>
        <w:t>overnment in the</w:t>
      </w:r>
      <w:r w:rsidR="00AE4CC0" w:rsidRPr="0028688D">
        <w:rPr>
          <w:rFonts w:ascii="Arial" w:eastAsia="Arial" w:hAnsi="Arial" w:cs="Arial"/>
          <w:szCs w:val="22"/>
        </w:rPr>
        <w:t xml:space="preserve"> current 50 per cent business rates retention system and </w:t>
      </w:r>
      <w:r w:rsidR="00615AFF" w:rsidRPr="0028688D">
        <w:rPr>
          <w:rFonts w:ascii="Arial" w:eastAsia="Arial" w:hAnsi="Arial" w:cs="Arial"/>
          <w:szCs w:val="22"/>
        </w:rPr>
        <w:t xml:space="preserve">has the potential to be a greater risk when </w:t>
      </w:r>
      <w:r w:rsidRPr="0028688D">
        <w:rPr>
          <w:rFonts w:ascii="Arial" w:eastAsia="Arial" w:hAnsi="Arial" w:cs="Arial"/>
          <w:szCs w:val="22"/>
        </w:rPr>
        <w:t xml:space="preserve">75 per cent </w:t>
      </w:r>
      <w:r w:rsidR="00AE4CC0" w:rsidRPr="0028688D">
        <w:rPr>
          <w:rFonts w:ascii="Arial" w:eastAsia="Arial" w:hAnsi="Arial" w:cs="Arial"/>
          <w:szCs w:val="22"/>
        </w:rPr>
        <w:t>retention</w:t>
      </w:r>
      <w:r w:rsidR="00615AFF" w:rsidRPr="0028688D">
        <w:rPr>
          <w:rFonts w:ascii="Arial" w:eastAsia="Arial" w:hAnsi="Arial" w:cs="Arial"/>
          <w:szCs w:val="22"/>
        </w:rPr>
        <w:t xml:space="preserve"> is implemented</w:t>
      </w:r>
      <w:r w:rsidRPr="0028688D">
        <w:rPr>
          <w:rFonts w:ascii="Arial" w:eastAsia="Arial" w:hAnsi="Arial" w:cs="Arial"/>
          <w:szCs w:val="22"/>
        </w:rPr>
        <w:t>.</w:t>
      </w:r>
    </w:p>
    <w:p w14:paraId="1275605C" w14:textId="03DB5EDC" w:rsidR="00E86031" w:rsidRPr="0028688D" w:rsidRDefault="00E86031" w:rsidP="0028688D">
      <w:pPr>
        <w:ind w:left="284" w:right="-938" w:hanging="284"/>
        <w:rPr>
          <w:rFonts w:ascii="Arial" w:eastAsia="Arial Unicode MS" w:hAnsi="Arial" w:cs="Arial"/>
          <w:color w:val="000000"/>
          <w:szCs w:val="22"/>
          <w:u w:color="000000"/>
          <w:bdr w:val="nil"/>
          <w:lang w:eastAsia="en-GB"/>
        </w:rPr>
      </w:pPr>
    </w:p>
    <w:p w14:paraId="576B9E6F" w14:textId="0C8493D2" w:rsidR="000D799F" w:rsidRPr="0028688D" w:rsidRDefault="000D799F" w:rsidP="0028688D">
      <w:pPr>
        <w:pStyle w:val="ListParagraph"/>
        <w:numPr>
          <w:ilvl w:val="0"/>
          <w:numId w:val="18"/>
        </w:numPr>
        <w:ind w:left="284" w:right="-938" w:hanging="284"/>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In our response to the 2017 consultation on further business rates retention we said that it is</w:t>
      </w:r>
      <w:r w:rsidR="009B6691" w:rsidRPr="0028688D">
        <w:rPr>
          <w:rFonts w:ascii="Arial" w:eastAsia="Arial" w:hAnsi="Arial" w:cs="Arial"/>
          <w:color w:val="000000"/>
          <w:szCs w:val="22"/>
          <w:bdr w:val="nil"/>
          <w:lang w:eastAsia="en-GB"/>
        </w:rPr>
        <w:t xml:space="preserve"> clear that losses from appeals as a result of ‘valuation errors’</w:t>
      </w:r>
      <w:r w:rsidR="00F222D5" w:rsidRPr="0028688D">
        <w:rPr>
          <w:rFonts w:ascii="Arial" w:eastAsia="Arial" w:hAnsi="Arial" w:cs="Arial"/>
          <w:color w:val="000000"/>
          <w:szCs w:val="22"/>
          <w:bdr w:val="nil"/>
          <w:lang w:eastAsia="en-GB"/>
        </w:rPr>
        <w:t xml:space="preserve"> could have a significant impact on the operation of the new scheme.</w:t>
      </w:r>
    </w:p>
    <w:p w14:paraId="4FFFA3CA" w14:textId="77777777" w:rsidR="000D799F" w:rsidRPr="0028688D" w:rsidRDefault="000D799F" w:rsidP="0028688D">
      <w:pPr>
        <w:ind w:left="284" w:right="-938" w:hanging="284"/>
        <w:rPr>
          <w:rFonts w:ascii="Arial" w:eastAsia="Arial" w:hAnsi="Arial" w:cs="Arial"/>
          <w:color w:val="000000"/>
          <w:szCs w:val="22"/>
          <w:bdr w:val="nil"/>
          <w:lang w:eastAsia="en-GB"/>
        </w:rPr>
      </w:pPr>
    </w:p>
    <w:p w14:paraId="3439784B" w14:textId="55A944A6" w:rsidR="00AF456D" w:rsidRPr="0028688D" w:rsidRDefault="002A2508" w:rsidP="0028688D">
      <w:pPr>
        <w:pStyle w:val="ListParagraph"/>
        <w:numPr>
          <w:ilvl w:val="0"/>
          <w:numId w:val="18"/>
        </w:numPr>
        <w:ind w:left="284" w:right="-938" w:hanging="284"/>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We reiterate our support for</w:t>
      </w:r>
      <w:r w:rsidR="00F222D5" w:rsidRPr="0028688D">
        <w:rPr>
          <w:rFonts w:ascii="Arial" w:eastAsia="Arial" w:hAnsi="Arial" w:cs="Arial"/>
          <w:color w:val="000000"/>
          <w:szCs w:val="22"/>
          <w:bdr w:val="nil"/>
          <w:lang w:eastAsia="en-GB"/>
        </w:rPr>
        <w:t xml:space="preserve"> a centrally managed appeals risk system</w:t>
      </w:r>
      <w:r w:rsidRPr="0028688D">
        <w:rPr>
          <w:rFonts w:ascii="Arial" w:eastAsia="Arial" w:hAnsi="Arial" w:cs="Arial"/>
          <w:color w:val="000000"/>
          <w:szCs w:val="22"/>
          <w:bdr w:val="nil"/>
          <w:lang w:eastAsia="en-GB"/>
        </w:rPr>
        <w:t>, on</w:t>
      </w:r>
      <w:r w:rsidR="006F0F3A" w:rsidRPr="0028688D" w:rsidDel="00BD6209">
        <w:rPr>
          <w:rFonts w:ascii="Arial" w:eastAsia="Arial" w:hAnsi="Arial" w:cs="Arial"/>
          <w:color w:val="000000"/>
          <w:szCs w:val="22"/>
          <w:bdr w:val="nil"/>
          <w:lang w:eastAsia="en-GB"/>
        </w:rPr>
        <w:t xml:space="preserve"> the </w:t>
      </w:r>
      <w:r w:rsidRPr="0028688D">
        <w:rPr>
          <w:rFonts w:ascii="Arial" w:eastAsia="Arial" w:hAnsi="Arial" w:cs="Arial"/>
          <w:color w:val="000000"/>
          <w:szCs w:val="22"/>
          <w:bdr w:val="nil"/>
          <w:lang w:eastAsia="en-GB"/>
        </w:rPr>
        <w:t>lines</w:t>
      </w:r>
      <w:r w:rsidR="006F0F3A" w:rsidRPr="0028688D" w:rsidDel="00BD6209">
        <w:rPr>
          <w:rFonts w:ascii="Arial" w:eastAsia="Arial" w:hAnsi="Arial" w:cs="Arial"/>
          <w:color w:val="000000"/>
          <w:szCs w:val="22"/>
          <w:bdr w:val="nil"/>
          <w:lang w:eastAsia="en-GB"/>
        </w:rPr>
        <w:t xml:space="preserve"> of </w:t>
      </w:r>
      <w:r w:rsidRPr="0028688D">
        <w:rPr>
          <w:rFonts w:ascii="Arial" w:eastAsia="Arial" w:hAnsi="Arial" w:cs="Arial"/>
          <w:color w:val="000000"/>
          <w:szCs w:val="22"/>
          <w:bdr w:val="nil"/>
          <w:lang w:eastAsia="en-GB"/>
        </w:rPr>
        <w:t>that outlined</w:t>
      </w:r>
      <w:r w:rsidR="006F0F3A" w:rsidRPr="0028688D" w:rsidDel="00BD6209">
        <w:rPr>
          <w:rFonts w:ascii="Arial" w:eastAsia="Arial" w:hAnsi="Arial" w:cs="Arial"/>
          <w:color w:val="000000"/>
          <w:szCs w:val="22"/>
          <w:bdr w:val="nil"/>
          <w:lang w:eastAsia="en-GB"/>
        </w:rPr>
        <w:t xml:space="preserve"> in </w:t>
      </w:r>
      <w:r w:rsidRPr="0028688D">
        <w:rPr>
          <w:rFonts w:ascii="Arial" w:eastAsia="Arial" w:hAnsi="Arial" w:cs="Arial"/>
          <w:color w:val="000000"/>
          <w:szCs w:val="22"/>
          <w:bdr w:val="nil"/>
          <w:lang w:eastAsia="en-GB"/>
        </w:rPr>
        <w:t xml:space="preserve">the </w:t>
      </w:r>
      <w:r w:rsidR="00253890" w:rsidRPr="0028688D">
        <w:rPr>
          <w:rFonts w:ascii="Arial" w:eastAsia="Arial" w:hAnsi="Arial" w:cs="Arial"/>
          <w:color w:val="000000"/>
          <w:szCs w:val="22"/>
          <w:bdr w:val="nil"/>
          <w:lang w:eastAsia="en-GB"/>
        </w:rPr>
        <w:t xml:space="preserve">MHCLG </w:t>
      </w:r>
      <w:r w:rsidRPr="0028688D">
        <w:rPr>
          <w:rFonts w:ascii="Arial" w:eastAsia="Arial" w:hAnsi="Arial" w:cs="Arial"/>
          <w:color w:val="000000"/>
          <w:szCs w:val="22"/>
          <w:bdr w:val="nil"/>
          <w:lang w:eastAsia="en-GB"/>
        </w:rPr>
        <w:t>paper</w:t>
      </w:r>
      <w:r w:rsidR="00F222D5" w:rsidRPr="0028688D">
        <w:rPr>
          <w:rFonts w:ascii="Arial" w:eastAsia="Arial" w:hAnsi="Arial" w:cs="Arial"/>
          <w:color w:val="000000"/>
          <w:szCs w:val="22"/>
          <w:bdr w:val="nil"/>
          <w:lang w:eastAsia="en-GB"/>
        </w:rPr>
        <w:t>.</w:t>
      </w:r>
      <w:r w:rsidR="006F0F3A" w:rsidRPr="0028688D">
        <w:rPr>
          <w:rFonts w:ascii="Arial" w:eastAsia="Arial" w:hAnsi="Arial" w:cs="Arial"/>
          <w:color w:val="000000"/>
          <w:szCs w:val="22"/>
          <w:bdr w:val="nil"/>
          <w:lang w:eastAsia="en-GB"/>
        </w:rPr>
        <w:t xml:space="preserve"> </w:t>
      </w:r>
      <w:r w:rsidR="00AF456D" w:rsidRPr="0028688D">
        <w:rPr>
          <w:rFonts w:ascii="Arial" w:eastAsia="Arial" w:hAnsi="Arial" w:cs="Arial"/>
          <w:color w:val="000000"/>
          <w:szCs w:val="22"/>
          <w:bdr w:val="nil"/>
          <w:lang w:eastAsia="en-GB"/>
        </w:rPr>
        <w:t xml:space="preserve"> We think that it</w:t>
      </w:r>
      <w:r w:rsidRPr="0028688D">
        <w:rPr>
          <w:rFonts w:ascii="Arial" w:eastAsia="Arial" w:hAnsi="Arial" w:cs="Arial"/>
          <w:color w:val="000000"/>
          <w:szCs w:val="22"/>
          <w:bdr w:val="nil"/>
          <w:lang w:eastAsia="en-GB"/>
        </w:rPr>
        <w:t xml:space="preserve"> would be</w:t>
      </w:r>
      <w:r w:rsidR="00AF456D" w:rsidRPr="0028688D">
        <w:rPr>
          <w:rFonts w:ascii="Arial" w:eastAsia="Arial" w:hAnsi="Arial" w:cs="Arial"/>
          <w:color w:val="000000"/>
          <w:szCs w:val="22"/>
          <w:bdr w:val="nil"/>
          <w:lang w:eastAsia="en-GB"/>
        </w:rPr>
        <w:t xml:space="preserve"> a </w:t>
      </w:r>
      <w:r w:rsidRPr="0028688D">
        <w:rPr>
          <w:rFonts w:ascii="Arial" w:eastAsia="Arial" w:hAnsi="Arial" w:cs="Arial"/>
          <w:color w:val="000000"/>
          <w:szCs w:val="22"/>
          <w:bdr w:val="nil"/>
          <w:lang w:eastAsia="en-GB"/>
        </w:rPr>
        <w:t>way of mitigating risk</w:t>
      </w:r>
      <w:r w:rsidR="00AF456D" w:rsidRPr="0028688D">
        <w:rPr>
          <w:rFonts w:ascii="Arial" w:eastAsia="Arial" w:hAnsi="Arial" w:cs="Arial"/>
          <w:color w:val="000000"/>
          <w:szCs w:val="22"/>
          <w:bdr w:val="nil"/>
          <w:lang w:eastAsia="en-GB"/>
        </w:rPr>
        <w:t xml:space="preserve"> as it would reduce the need of authorities to hold provisions to cover appeals and would only have to cover actual changes to the list.  </w:t>
      </w:r>
      <w:r w:rsidR="00253890" w:rsidRPr="0028688D">
        <w:rPr>
          <w:rFonts w:ascii="Arial" w:eastAsia="Arial" w:hAnsi="Arial" w:cs="Arial"/>
          <w:color w:val="000000"/>
          <w:szCs w:val="22"/>
          <w:bdr w:val="nil"/>
          <w:lang w:eastAsia="en-GB"/>
        </w:rPr>
        <w:t>Given the impact of appeals on local authorities and local authority services, compensating author</w:t>
      </w:r>
      <w:r w:rsidR="000D7362" w:rsidRPr="0028688D">
        <w:rPr>
          <w:rFonts w:ascii="Arial" w:eastAsia="Arial" w:hAnsi="Arial" w:cs="Arial"/>
          <w:color w:val="000000"/>
          <w:szCs w:val="22"/>
          <w:bdr w:val="nil"/>
          <w:lang w:eastAsia="en-GB"/>
        </w:rPr>
        <w:t>ities for losses due to appeals</w:t>
      </w:r>
      <w:r w:rsidR="00AF456D" w:rsidRPr="0028688D">
        <w:rPr>
          <w:rFonts w:ascii="Arial" w:eastAsia="Arial" w:hAnsi="Arial" w:cs="Arial"/>
          <w:color w:val="000000"/>
          <w:szCs w:val="22"/>
          <w:bdr w:val="nil"/>
          <w:lang w:eastAsia="en-GB"/>
        </w:rPr>
        <w:t xml:space="preserve"> outweighs</w:t>
      </w:r>
      <w:r w:rsidR="00E6622B" w:rsidRPr="0028688D">
        <w:rPr>
          <w:rFonts w:ascii="Arial" w:eastAsia="Arial" w:hAnsi="Arial" w:cs="Arial"/>
          <w:color w:val="000000"/>
          <w:szCs w:val="22"/>
          <w:bdr w:val="nil"/>
          <w:lang w:eastAsia="en-GB"/>
        </w:rPr>
        <w:t xml:space="preserve"> the risk of further complexity.</w:t>
      </w:r>
    </w:p>
    <w:p w14:paraId="0B628A23" w14:textId="77777777" w:rsidR="0028688D" w:rsidRPr="0028688D" w:rsidRDefault="0028688D" w:rsidP="0028688D">
      <w:pPr>
        <w:ind w:left="284" w:right="-938" w:hanging="284"/>
        <w:rPr>
          <w:rFonts w:ascii="Arial" w:eastAsia="Arial" w:hAnsi="Arial" w:cs="Arial"/>
          <w:color w:val="000000"/>
          <w:szCs w:val="22"/>
          <w:bdr w:val="nil"/>
          <w:lang w:eastAsia="en-GB"/>
        </w:rPr>
      </w:pPr>
    </w:p>
    <w:p w14:paraId="24F942E7" w14:textId="05008EC8" w:rsidR="00E6622B" w:rsidRPr="0028688D" w:rsidRDefault="0028688D" w:rsidP="0028688D">
      <w:pPr>
        <w:pStyle w:val="ListParagraph"/>
        <w:numPr>
          <w:ilvl w:val="0"/>
          <w:numId w:val="18"/>
        </w:numPr>
        <w:ind w:left="284" w:right="-938" w:hanging="284"/>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 xml:space="preserve">We </w:t>
      </w:r>
      <w:r w:rsidR="00E6622B" w:rsidRPr="0028688D">
        <w:rPr>
          <w:rFonts w:ascii="Arial" w:eastAsia="Arial" w:hAnsi="Arial" w:cs="Arial"/>
          <w:color w:val="000000"/>
          <w:szCs w:val="22"/>
          <w:bdr w:val="nil"/>
          <w:lang w:eastAsia="en-GB"/>
        </w:rPr>
        <w:t>look forward to working further with officials on the development of the system.  We note that MHCLG is proposing to use as a proxy changes from the compiled list, in other words those changes which are backdated to the start of a list.  We would like to see more work on this and note that no operational alternative has been suggested.</w:t>
      </w:r>
      <w:r w:rsidR="001C33B4" w:rsidRPr="0028688D">
        <w:rPr>
          <w:rFonts w:ascii="Arial" w:eastAsia="Arial" w:hAnsi="Arial" w:cs="Arial"/>
          <w:color w:val="000000"/>
          <w:szCs w:val="22"/>
          <w:bdr w:val="nil"/>
          <w:lang w:eastAsia="en-GB"/>
        </w:rPr>
        <w:t xml:space="preserve">  Going forward, it should be explored whether information on the reason for a valuation can be provided under Check, Challenge and Appeal.</w:t>
      </w:r>
    </w:p>
    <w:p w14:paraId="28A8DED4" w14:textId="622AF4AC" w:rsidR="00E6622B" w:rsidRPr="0028688D" w:rsidRDefault="00E6622B" w:rsidP="0028688D">
      <w:pPr>
        <w:ind w:left="284" w:right="-938" w:hanging="284"/>
        <w:rPr>
          <w:rFonts w:ascii="Arial" w:eastAsia="Arial" w:hAnsi="Arial" w:cs="Arial"/>
          <w:color w:val="000000"/>
          <w:szCs w:val="22"/>
          <w:bdr w:val="nil"/>
          <w:lang w:eastAsia="en-GB"/>
        </w:rPr>
      </w:pPr>
    </w:p>
    <w:p w14:paraId="5F5A37C6" w14:textId="3B1DA7D6" w:rsidR="00E6622B" w:rsidRPr="0028688D" w:rsidRDefault="0069529C" w:rsidP="0028688D">
      <w:pPr>
        <w:pStyle w:val="ListParagraph"/>
        <w:numPr>
          <w:ilvl w:val="0"/>
          <w:numId w:val="18"/>
        </w:numPr>
        <w:ind w:left="284" w:right="-938" w:hanging="284"/>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 xml:space="preserve">A system must be put in place to adjust for </w:t>
      </w:r>
      <w:r w:rsidR="00E6622B" w:rsidRPr="0028688D">
        <w:rPr>
          <w:rFonts w:ascii="Arial" w:eastAsia="Arial" w:hAnsi="Arial" w:cs="Arial"/>
          <w:color w:val="000000"/>
          <w:szCs w:val="22"/>
          <w:bdr w:val="nil"/>
          <w:lang w:eastAsia="en-GB"/>
        </w:rPr>
        <w:t>those events which cause a significant shock to the system, such as a legal decision on mandatory reliefs for NHS Trusts, decisions on rating methods, for example doctors’ surgeries, and the knock on effect of Government policy decisions, such as the expansion of academy schools.</w:t>
      </w:r>
      <w:r w:rsidRPr="0028688D">
        <w:rPr>
          <w:rFonts w:ascii="Arial" w:eastAsia="Arial" w:hAnsi="Arial" w:cs="Arial"/>
          <w:color w:val="000000"/>
          <w:szCs w:val="22"/>
          <w:bdr w:val="nil"/>
          <w:lang w:eastAsia="en-GB"/>
        </w:rPr>
        <w:t xml:space="preserve"> These can be seen as shuffling income round the public sector.</w:t>
      </w:r>
    </w:p>
    <w:p w14:paraId="61173E21" w14:textId="77777777" w:rsidR="00AF456D" w:rsidRPr="0028688D" w:rsidRDefault="00AF456D" w:rsidP="0028688D">
      <w:pPr>
        <w:ind w:left="284" w:right="-938" w:hanging="284"/>
        <w:rPr>
          <w:rFonts w:ascii="Arial" w:eastAsia="Arial" w:hAnsi="Arial" w:cs="Arial"/>
          <w:color w:val="000000"/>
          <w:szCs w:val="22"/>
          <w:bdr w:val="nil"/>
          <w:lang w:eastAsia="en-GB"/>
        </w:rPr>
      </w:pPr>
    </w:p>
    <w:p w14:paraId="30CE8FAD" w14:textId="30E865E9" w:rsidR="00E6622B" w:rsidRPr="0028688D" w:rsidRDefault="00E6622B" w:rsidP="0028688D">
      <w:pPr>
        <w:pStyle w:val="ListParagraph"/>
        <w:numPr>
          <w:ilvl w:val="0"/>
          <w:numId w:val="18"/>
        </w:numPr>
        <w:ind w:left="284" w:right="-938" w:hanging="284"/>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The government should ensure that the valuation system is properly funded, to enable the backlog of appeals to be dealt with as quickly as possible and to ensure that the 2021 and future revaluations are as accurate as possible.</w:t>
      </w:r>
    </w:p>
    <w:p w14:paraId="1863DC0B" w14:textId="77777777" w:rsidR="000D799F" w:rsidRDefault="000D799F" w:rsidP="0028688D">
      <w:pPr>
        <w:ind w:left="284" w:right="-938" w:hanging="284"/>
        <w:rPr>
          <w:rFonts w:ascii="Arial" w:eastAsia="Arial" w:hAnsi="Arial" w:cs="Arial"/>
          <w:color w:val="000000"/>
          <w:szCs w:val="22"/>
          <w:bdr w:val="nil"/>
          <w:lang w:eastAsia="en-GB"/>
        </w:rPr>
      </w:pPr>
    </w:p>
    <w:p w14:paraId="7133607C" w14:textId="77777777" w:rsidR="00F56D4A" w:rsidRDefault="00F56D4A" w:rsidP="0028688D">
      <w:pPr>
        <w:ind w:left="284" w:right="-938" w:hanging="284"/>
        <w:rPr>
          <w:rFonts w:ascii="Arial" w:eastAsia="Arial" w:hAnsi="Arial" w:cs="Arial"/>
          <w:color w:val="000000"/>
          <w:szCs w:val="22"/>
          <w:bdr w:val="nil"/>
          <w:lang w:eastAsia="en-GB"/>
        </w:rPr>
      </w:pPr>
    </w:p>
    <w:p w14:paraId="5B09685C" w14:textId="77777777" w:rsidR="00F56D4A" w:rsidRPr="0028688D" w:rsidRDefault="00F56D4A" w:rsidP="0028688D">
      <w:pPr>
        <w:ind w:left="284" w:right="-938" w:hanging="284"/>
        <w:rPr>
          <w:rFonts w:ascii="Arial" w:eastAsia="Arial" w:hAnsi="Arial" w:cs="Arial"/>
          <w:color w:val="000000"/>
          <w:szCs w:val="22"/>
          <w:bdr w:val="nil"/>
          <w:lang w:eastAsia="en-GB"/>
        </w:rPr>
      </w:pPr>
      <w:bookmarkStart w:id="0" w:name="_GoBack"/>
      <w:bookmarkEnd w:id="0"/>
    </w:p>
    <w:p w14:paraId="311D3135" w14:textId="513506CB" w:rsidR="00D062C7" w:rsidRPr="0028688D" w:rsidRDefault="00E6622B" w:rsidP="0028688D">
      <w:pPr>
        <w:ind w:right="-938"/>
        <w:rPr>
          <w:rFonts w:ascii="Arial" w:eastAsia="Arial" w:hAnsi="Arial" w:cs="Arial"/>
          <w:b/>
          <w:color w:val="000000"/>
          <w:szCs w:val="22"/>
          <w:bdr w:val="nil"/>
          <w:lang w:eastAsia="en-GB"/>
        </w:rPr>
      </w:pPr>
      <w:r w:rsidRPr="0028688D">
        <w:rPr>
          <w:rFonts w:ascii="Arial" w:eastAsia="Arial" w:hAnsi="Arial" w:cs="Arial"/>
          <w:b/>
          <w:color w:val="000000"/>
          <w:szCs w:val="22"/>
          <w:bdr w:val="nil"/>
          <w:lang w:eastAsia="en-GB"/>
        </w:rPr>
        <w:lastRenderedPageBreak/>
        <w:t>Detailed comments</w:t>
      </w:r>
    </w:p>
    <w:p w14:paraId="47F58A15" w14:textId="77777777" w:rsidR="00D062C7" w:rsidRPr="0028688D" w:rsidRDefault="00D062C7" w:rsidP="0028688D">
      <w:pPr>
        <w:ind w:right="-938"/>
        <w:rPr>
          <w:rFonts w:ascii="Arial" w:eastAsia="Arial" w:hAnsi="Arial" w:cs="Arial"/>
          <w:color w:val="000000"/>
          <w:szCs w:val="22"/>
          <w:bdr w:val="nil"/>
          <w:lang w:eastAsia="en-GB"/>
        </w:rPr>
      </w:pPr>
    </w:p>
    <w:p w14:paraId="75C299A7" w14:textId="50A684E8" w:rsidR="002A2508" w:rsidRPr="0028688D" w:rsidRDefault="002A2508"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Before the introduction of the current rates retention system, all business rates raised</w:t>
      </w:r>
      <w:r w:rsidR="00C441B6" w:rsidRPr="0028688D">
        <w:rPr>
          <w:rFonts w:ascii="Arial" w:eastAsia="Arial" w:hAnsi="Arial" w:cs="Arial"/>
          <w:color w:val="000000"/>
          <w:szCs w:val="22"/>
          <w:bdr w:val="nil"/>
          <w:lang w:eastAsia="en-GB"/>
        </w:rPr>
        <w:t xml:space="preserve"> by</w:t>
      </w:r>
      <w:r w:rsidRPr="0028688D">
        <w:rPr>
          <w:rFonts w:ascii="Arial" w:eastAsia="Arial" w:hAnsi="Arial" w:cs="Arial"/>
          <w:color w:val="000000"/>
          <w:szCs w:val="22"/>
          <w:bdr w:val="nil"/>
          <w:lang w:eastAsia="en-GB"/>
        </w:rPr>
        <w:t xml:space="preserve"> local</w:t>
      </w:r>
      <w:r w:rsidR="00C441B6" w:rsidRPr="0028688D">
        <w:rPr>
          <w:rFonts w:ascii="Arial" w:eastAsia="Arial" w:hAnsi="Arial" w:cs="Arial"/>
          <w:color w:val="000000"/>
          <w:szCs w:val="22"/>
          <w:bdr w:val="nil"/>
          <w:lang w:eastAsia="en-GB"/>
        </w:rPr>
        <w:t xml:space="preserve"> government</w:t>
      </w:r>
      <w:r w:rsidRPr="0028688D">
        <w:rPr>
          <w:rFonts w:ascii="Arial" w:eastAsia="Arial" w:hAnsi="Arial" w:cs="Arial"/>
          <w:color w:val="000000"/>
          <w:szCs w:val="22"/>
          <w:bdr w:val="nil"/>
          <w:lang w:eastAsia="en-GB"/>
        </w:rPr>
        <w:t xml:space="preserve"> were paid to central government</w:t>
      </w:r>
      <w:r w:rsidR="00C441B6" w:rsidRPr="0028688D">
        <w:rPr>
          <w:rFonts w:ascii="Arial" w:eastAsia="Arial" w:hAnsi="Arial" w:cs="Arial"/>
          <w:color w:val="000000"/>
          <w:szCs w:val="22"/>
          <w:bdr w:val="nil"/>
          <w:lang w:eastAsia="en-GB"/>
        </w:rPr>
        <w:t xml:space="preserve"> for redistribution to local government through formula and other grants</w:t>
      </w:r>
      <w:r w:rsidRPr="0028688D">
        <w:rPr>
          <w:rFonts w:ascii="Arial" w:eastAsia="Arial" w:hAnsi="Arial" w:cs="Arial"/>
          <w:color w:val="000000"/>
          <w:szCs w:val="22"/>
          <w:bdr w:val="nil"/>
          <w:lang w:eastAsia="en-GB"/>
        </w:rPr>
        <w:t xml:space="preserve">. Losses on appeal, therefore, were borne centrally.  When the 50 per cent </w:t>
      </w:r>
      <w:r w:rsidR="007A0737" w:rsidRPr="0028688D">
        <w:rPr>
          <w:rFonts w:ascii="Arial" w:eastAsia="Arial" w:hAnsi="Arial" w:cs="Arial"/>
          <w:color w:val="000000"/>
          <w:szCs w:val="22"/>
          <w:bdr w:val="nil"/>
          <w:lang w:eastAsia="en-GB"/>
        </w:rPr>
        <w:t xml:space="preserve">business </w:t>
      </w:r>
      <w:r w:rsidRPr="0028688D">
        <w:rPr>
          <w:rFonts w:ascii="Arial" w:eastAsia="Arial" w:hAnsi="Arial" w:cs="Arial"/>
          <w:color w:val="000000"/>
          <w:szCs w:val="22"/>
          <w:bdr w:val="nil"/>
          <w:lang w:eastAsia="en-GB"/>
        </w:rPr>
        <w:t xml:space="preserve">rates retention system was </w:t>
      </w:r>
      <w:r w:rsidR="007A0737" w:rsidRPr="0028688D">
        <w:rPr>
          <w:rFonts w:ascii="Arial" w:eastAsia="Arial" w:hAnsi="Arial" w:cs="Arial"/>
          <w:color w:val="000000"/>
          <w:szCs w:val="22"/>
          <w:bdr w:val="nil"/>
          <w:lang w:eastAsia="en-GB"/>
        </w:rPr>
        <w:t>introduced</w:t>
      </w:r>
      <w:r w:rsidRPr="0028688D">
        <w:rPr>
          <w:rFonts w:ascii="Arial" w:eastAsia="Arial" w:hAnsi="Arial" w:cs="Arial"/>
          <w:color w:val="000000"/>
          <w:szCs w:val="22"/>
          <w:bdr w:val="nil"/>
          <w:lang w:eastAsia="en-GB"/>
        </w:rPr>
        <w:t xml:space="preserve"> in </w:t>
      </w:r>
      <w:r w:rsidR="00C441B6" w:rsidRPr="0028688D">
        <w:rPr>
          <w:rFonts w:ascii="Arial" w:eastAsia="Arial" w:hAnsi="Arial" w:cs="Arial"/>
          <w:color w:val="000000"/>
          <w:szCs w:val="22"/>
          <w:bdr w:val="nil"/>
          <w:lang w:eastAsia="en-GB"/>
        </w:rPr>
        <w:t xml:space="preserve">April </w:t>
      </w:r>
      <w:r w:rsidRPr="0028688D">
        <w:rPr>
          <w:rFonts w:ascii="Arial" w:eastAsia="Arial" w:hAnsi="Arial" w:cs="Arial"/>
          <w:color w:val="000000"/>
          <w:szCs w:val="22"/>
          <w:bdr w:val="nil"/>
          <w:lang w:eastAsia="en-GB"/>
        </w:rPr>
        <w:t xml:space="preserve">2013, authorities were expected to </w:t>
      </w:r>
      <w:r w:rsidR="00C441B6" w:rsidRPr="0028688D">
        <w:rPr>
          <w:rFonts w:ascii="Arial" w:eastAsia="Arial" w:hAnsi="Arial" w:cs="Arial"/>
          <w:color w:val="000000"/>
          <w:szCs w:val="22"/>
          <w:bdr w:val="nil"/>
          <w:lang w:eastAsia="en-GB"/>
        </w:rPr>
        <w:t>refund 50 per cent of the cost of appeals including backdated losses.  In line with normal accounting practice</w:t>
      </w:r>
      <w:r w:rsidR="00B6001A" w:rsidRPr="0028688D">
        <w:rPr>
          <w:rFonts w:ascii="Arial" w:eastAsia="Arial" w:hAnsi="Arial" w:cs="Arial"/>
          <w:color w:val="000000"/>
          <w:szCs w:val="22"/>
          <w:bdr w:val="nil"/>
          <w:lang w:eastAsia="en-GB"/>
        </w:rPr>
        <w:t>,</w:t>
      </w:r>
      <w:r w:rsidR="00C441B6" w:rsidRPr="0028688D">
        <w:rPr>
          <w:rFonts w:ascii="Arial" w:eastAsia="Arial" w:hAnsi="Arial" w:cs="Arial"/>
          <w:color w:val="000000"/>
          <w:szCs w:val="22"/>
          <w:bdr w:val="nil"/>
          <w:lang w:eastAsia="en-GB"/>
        </w:rPr>
        <w:t xml:space="preserve"> authorities were required to </w:t>
      </w:r>
      <w:r w:rsidRPr="0028688D">
        <w:rPr>
          <w:rFonts w:ascii="Arial" w:eastAsia="Arial" w:hAnsi="Arial" w:cs="Arial"/>
          <w:color w:val="000000"/>
          <w:szCs w:val="22"/>
          <w:bdr w:val="nil"/>
          <w:lang w:eastAsia="en-GB"/>
        </w:rPr>
        <w:t>make provisions for expected appeals losses.</w:t>
      </w:r>
    </w:p>
    <w:p w14:paraId="458D8312" w14:textId="77777777" w:rsidR="002A2508" w:rsidRPr="0028688D" w:rsidRDefault="002A2508" w:rsidP="0028688D">
      <w:pPr>
        <w:ind w:left="426" w:right="-938" w:hanging="426"/>
        <w:rPr>
          <w:rFonts w:ascii="Arial" w:eastAsia="Arial" w:hAnsi="Arial" w:cs="Arial"/>
          <w:color w:val="000000"/>
          <w:szCs w:val="22"/>
          <w:bdr w:val="nil"/>
          <w:lang w:eastAsia="en-GB"/>
        </w:rPr>
      </w:pPr>
    </w:p>
    <w:p w14:paraId="60EA167D" w14:textId="5F179584" w:rsidR="002A2508" w:rsidRPr="0028688D" w:rsidRDefault="002A2508"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In 2013 the LGA called for the Government to fund all appeal loss before April 2013.</w:t>
      </w:r>
      <w:r w:rsidR="0069529C" w:rsidRPr="0028688D">
        <w:rPr>
          <w:rFonts w:ascii="Arial" w:eastAsia="Arial" w:hAnsi="Arial" w:cs="Arial"/>
          <w:color w:val="000000"/>
          <w:szCs w:val="22"/>
          <w:bdr w:val="nil"/>
          <w:lang w:eastAsia="en-GB"/>
        </w:rPr>
        <w:t xml:space="preserve"> We still consider that this would have been the correct treatment.</w:t>
      </w:r>
      <w:r w:rsidRPr="0028688D">
        <w:rPr>
          <w:rFonts w:ascii="Arial" w:eastAsia="Arial" w:hAnsi="Arial" w:cs="Arial"/>
          <w:color w:val="000000"/>
          <w:szCs w:val="22"/>
          <w:bdr w:val="nil"/>
          <w:lang w:eastAsia="en-GB"/>
        </w:rPr>
        <w:t xml:space="preserve">  We </w:t>
      </w:r>
      <w:r w:rsidR="00C41BED" w:rsidRPr="0028688D">
        <w:rPr>
          <w:rFonts w:ascii="Arial" w:eastAsia="Arial" w:hAnsi="Arial" w:cs="Arial"/>
          <w:color w:val="000000"/>
          <w:szCs w:val="22"/>
          <w:bdr w:val="nil"/>
          <w:lang w:eastAsia="en-GB"/>
        </w:rPr>
        <w:t xml:space="preserve">believe that when 75 per cent rates retention is introduced the share of the cost </w:t>
      </w:r>
      <w:r w:rsidRPr="0028688D">
        <w:rPr>
          <w:rFonts w:ascii="Arial" w:eastAsia="Arial" w:hAnsi="Arial" w:cs="Arial"/>
          <w:color w:val="000000"/>
          <w:szCs w:val="22"/>
          <w:bdr w:val="nil"/>
          <w:lang w:eastAsia="en-GB"/>
        </w:rPr>
        <w:t xml:space="preserve">of appeals which </w:t>
      </w:r>
      <w:r w:rsidR="00C41BED" w:rsidRPr="0028688D">
        <w:rPr>
          <w:rFonts w:ascii="Arial" w:eastAsia="Arial" w:hAnsi="Arial" w:cs="Arial"/>
          <w:color w:val="000000"/>
          <w:szCs w:val="22"/>
          <w:bdr w:val="nil"/>
          <w:lang w:eastAsia="en-GB"/>
        </w:rPr>
        <w:t xml:space="preserve">would have fallen on the central share in the 50 per cent scheme </w:t>
      </w:r>
      <w:r w:rsidRPr="0028688D">
        <w:rPr>
          <w:rFonts w:ascii="Arial" w:eastAsia="Arial" w:hAnsi="Arial" w:cs="Arial"/>
          <w:color w:val="000000"/>
          <w:szCs w:val="22"/>
          <w:bdr w:val="nil"/>
          <w:lang w:eastAsia="en-GB"/>
        </w:rPr>
        <w:t xml:space="preserve">should be funded </w:t>
      </w:r>
      <w:r w:rsidR="00C41BED" w:rsidRPr="0028688D">
        <w:rPr>
          <w:rFonts w:ascii="Arial" w:eastAsia="Arial" w:hAnsi="Arial" w:cs="Arial"/>
          <w:color w:val="000000"/>
          <w:szCs w:val="22"/>
          <w:bdr w:val="nil"/>
          <w:lang w:eastAsia="en-GB"/>
        </w:rPr>
        <w:t xml:space="preserve">by central government </w:t>
      </w:r>
      <w:r w:rsidRPr="0028688D">
        <w:rPr>
          <w:rFonts w:ascii="Arial" w:eastAsia="Arial" w:hAnsi="Arial" w:cs="Arial"/>
          <w:color w:val="000000"/>
          <w:szCs w:val="22"/>
          <w:bdr w:val="nil"/>
          <w:lang w:eastAsia="en-GB"/>
        </w:rPr>
        <w:t xml:space="preserve">and not from a top-slice. </w:t>
      </w:r>
    </w:p>
    <w:p w14:paraId="0F6DA828" w14:textId="77777777" w:rsidR="002A2508" w:rsidRPr="0028688D" w:rsidRDefault="002A2508" w:rsidP="0028688D">
      <w:pPr>
        <w:ind w:left="426" w:right="-938" w:hanging="426"/>
        <w:rPr>
          <w:rFonts w:ascii="Arial" w:eastAsia="Arial" w:hAnsi="Arial" w:cs="Arial"/>
          <w:color w:val="000000"/>
          <w:szCs w:val="22"/>
          <w:bdr w:val="nil"/>
          <w:lang w:eastAsia="en-GB"/>
        </w:rPr>
      </w:pPr>
    </w:p>
    <w:p w14:paraId="7CD8CBD6" w14:textId="1AB46F6B" w:rsidR="002A2508" w:rsidRPr="0028688D" w:rsidRDefault="002A2508"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 xml:space="preserve">Although, as the </w:t>
      </w:r>
      <w:r w:rsidR="00C441B6" w:rsidRPr="0028688D">
        <w:rPr>
          <w:rFonts w:ascii="Arial" w:eastAsia="Arial" w:hAnsi="Arial" w:cs="Arial"/>
          <w:color w:val="000000"/>
          <w:szCs w:val="22"/>
          <w:bdr w:val="nil"/>
          <w:lang w:eastAsia="en-GB"/>
        </w:rPr>
        <w:t xml:space="preserve">MHCLG </w:t>
      </w:r>
      <w:r w:rsidRPr="0028688D">
        <w:rPr>
          <w:rFonts w:ascii="Arial" w:eastAsia="Arial" w:hAnsi="Arial" w:cs="Arial"/>
          <w:color w:val="000000"/>
          <w:szCs w:val="22"/>
          <w:bdr w:val="nil"/>
          <w:lang w:eastAsia="en-GB"/>
        </w:rPr>
        <w:t xml:space="preserve">recognise, the Government did reduce the business rates baseline </w:t>
      </w:r>
      <w:r w:rsidR="00C441B6" w:rsidRPr="0028688D">
        <w:rPr>
          <w:rFonts w:ascii="Arial" w:eastAsia="Arial" w:hAnsi="Arial" w:cs="Arial"/>
          <w:color w:val="000000"/>
          <w:szCs w:val="22"/>
          <w:bdr w:val="nil"/>
          <w:lang w:eastAsia="en-GB"/>
        </w:rPr>
        <w:t xml:space="preserve">in 2013/14 </w:t>
      </w:r>
      <w:r w:rsidRPr="0028688D">
        <w:rPr>
          <w:rFonts w:ascii="Arial" w:eastAsia="Arial" w:hAnsi="Arial" w:cs="Arial"/>
          <w:color w:val="000000"/>
          <w:szCs w:val="22"/>
          <w:bdr w:val="nil"/>
          <w:lang w:eastAsia="en-GB"/>
        </w:rPr>
        <w:t xml:space="preserve">by £1.9 billion to take account of outstanding </w:t>
      </w:r>
      <w:r w:rsidR="00655689" w:rsidRPr="0028688D">
        <w:rPr>
          <w:rFonts w:ascii="Arial" w:eastAsia="Arial" w:hAnsi="Arial" w:cs="Arial"/>
          <w:color w:val="000000"/>
          <w:szCs w:val="22"/>
          <w:bdr w:val="nil"/>
          <w:lang w:eastAsia="en-GB"/>
        </w:rPr>
        <w:t xml:space="preserve">and expected </w:t>
      </w:r>
      <w:r w:rsidRPr="0028688D">
        <w:rPr>
          <w:rFonts w:ascii="Arial" w:eastAsia="Arial" w:hAnsi="Arial" w:cs="Arial"/>
          <w:color w:val="000000"/>
          <w:szCs w:val="22"/>
          <w:bdr w:val="nil"/>
          <w:lang w:eastAsia="en-GB"/>
        </w:rPr>
        <w:t>appeals, this figure was effectively apportioned between authorities proportionately to their individual business rates baselines and not in accordance with the risk of appeals.  Some authorities experience losses larger than their portion of the top-slice and some experience losses smaller than the portion allocated to them.</w:t>
      </w:r>
    </w:p>
    <w:p w14:paraId="2410D19F" w14:textId="77777777" w:rsidR="002A2508" w:rsidRPr="0028688D" w:rsidRDefault="002A2508" w:rsidP="0028688D">
      <w:pPr>
        <w:ind w:left="426" w:right="-938" w:hanging="426"/>
        <w:rPr>
          <w:rFonts w:ascii="Arial" w:eastAsia="Arial" w:hAnsi="Arial" w:cs="Arial"/>
          <w:color w:val="000000"/>
          <w:szCs w:val="22"/>
          <w:bdr w:val="nil"/>
          <w:lang w:eastAsia="en-GB"/>
        </w:rPr>
      </w:pPr>
    </w:p>
    <w:p w14:paraId="1347BCF7" w14:textId="24F9C985" w:rsidR="008E261B" w:rsidRPr="0028688D" w:rsidRDefault="00C441B6"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It is estimated that there was a total of £2.6 billion in appeals provision as at 31 March 2017.  O</w:t>
      </w:r>
      <w:r w:rsidRPr="0028688D">
        <w:rPr>
          <w:rFonts w:ascii="Arial" w:hAnsi="Arial" w:cs="Arial"/>
          <w:szCs w:val="22"/>
        </w:rPr>
        <w:t xml:space="preserve">ver 70 per cent of appeals to the 2010 list which have been resolved have resulted in no changes to the list. There are still over 130,000 appeals outstanding from the 2010 list and there is no information on whether the appeals that are still to be resolved are more or less likely to result in a change to a valuation.  However, it is unlikely that all the provisions will be needed and this is money that could be spent on local authority services which are already under severe pressure. </w:t>
      </w:r>
    </w:p>
    <w:p w14:paraId="7BB3F76A" w14:textId="77777777" w:rsidR="002A2508" w:rsidRPr="0028688D" w:rsidRDefault="002A2508" w:rsidP="0028688D">
      <w:pPr>
        <w:ind w:left="426" w:right="-938" w:hanging="426"/>
        <w:rPr>
          <w:rFonts w:ascii="Arial" w:eastAsia="Arial" w:hAnsi="Arial" w:cs="Arial"/>
          <w:color w:val="000000"/>
          <w:szCs w:val="22"/>
          <w:bdr w:val="nil"/>
          <w:lang w:eastAsia="en-GB"/>
        </w:rPr>
      </w:pPr>
    </w:p>
    <w:p w14:paraId="2A0197BA" w14:textId="1555EBC7" w:rsidR="002A2508" w:rsidRPr="0028688D" w:rsidRDefault="002A2508"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It is still too early to say whether Check, Challenge and Appeal has been effective in reducing the number of appeals to the 2017 list.  The time needed to go through the stages of the process and the fact that all the systems needed are not in place ha</w:t>
      </w:r>
      <w:r w:rsidR="00890596" w:rsidRPr="0028688D">
        <w:rPr>
          <w:rFonts w:ascii="Arial" w:eastAsia="Arial" w:hAnsi="Arial" w:cs="Arial"/>
          <w:color w:val="000000"/>
          <w:szCs w:val="22"/>
          <w:bdr w:val="nil"/>
          <w:lang w:eastAsia="en-GB"/>
        </w:rPr>
        <w:t>s</w:t>
      </w:r>
      <w:r w:rsidRPr="0028688D">
        <w:rPr>
          <w:rFonts w:ascii="Arial" w:eastAsia="Arial" w:hAnsi="Arial" w:cs="Arial"/>
          <w:color w:val="000000"/>
          <w:szCs w:val="22"/>
          <w:bdr w:val="nil"/>
          <w:lang w:eastAsia="en-GB"/>
        </w:rPr>
        <w:t xml:space="preserve"> contributed to this.  The government must ensure that the valuation system is properly resourced, in order to clear the backlog of appeals on the 2010 list as quickly as possible and </w:t>
      </w:r>
      <w:r w:rsidR="0024506A" w:rsidRPr="0028688D">
        <w:rPr>
          <w:rFonts w:ascii="Arial" w:eastAsia="Arial" w:hAnsi="Arial" w:cs="Arial"/>
          <w:color w:val="000000"/>
          <w:szCs w:val="22"/>
          <w:bdr w:val="nil"/>
          <w:lang w:eastAsia="en-GB"/>
        </w:rPr>
        <w:t xml:space="preserve">to </w:t>
      </w:r>
      <w:r w:rsidRPr="0028688D">
        <w:rPr>
          <w:rFonts w:ascii="Arial" w:eastAsia="Arial" w:hAnsi="Arial" w:cs="Arial"/>
          <w:color w:val="000000"/>
          <w:szCs w:val="22"/>
          <w:bdr w:val="nil"/>
          <w:lang w:eastAsia="en-GB"/>
        </w:rPr>
        <w:t>deal with more frequent revaluations.</w:t>
      </w:r>
    </w:p>
    <w:p w14:paraId="2D525BFF" w14:textId="77777777" w:rsidR="002A2508" w:rsidRPr="0028688D" w:rsidRDefault="002A2508" w:rsidP="0028688D">
      <w:pPr>
        <w:ind w:left="426" w:right="-938" w:hanging="426"/>
        <w:rPr>
          <w:rFonts w:ascii="Arial" w:eastAsia="Arial" w:hAnsi="Arial" w:cs="Arial"/>
          <w:color w:val="000000"/>
          <w:szCs w:val="22"/>
          <w:bdr w:val="nil"/>
          <w:lang w:eastAsia="en-GB"/>
        </w:rPr>
      </w:pPr>
    </w:p>
    <w:p w14:paraId="3CE73F20" w14:textId="40E7AA63" w:rsidR="00E56E72" w:rsidRPr="0028688D" w:rsidRDefault="00D062C7"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 xml:space="preserve">We agree with the </w:t>
      </w:r>
      <w:r w:rsidR="00D10025" w:rsidRPr="0028688D">
        <w:rPr>
          <w:rFonts w:ascii="Arial" w:eastAsia="Arial" w:hAnsi="Arial" w:cs="Arial"/>
          <w:color w:val="000000"/>
          <w:szCs w:val="22"/>
          <w:bdr w:val="nil"/>
          <w:lang w:eastAsia="en-GB"/>
        </w:rPr>
        <w:t xml:space="preserve">conclusion in the MHCLG </w:t>
      </w:r>
      <w:r w:rsidRPr="0028688D">
        <w:rPr>
          <w:rFonts w:ascii="Arial" w:eastAsia="Arial" w:hAnsi="Arial" w:cs="Arial"/>
          <w:color w:val="000000"/>
          <w:szCs w:val="22"/>
          <w:bdr w:val="nil"/>
          <w:lang w:eastAsia="en-GB"/>
        </w:rPr>
        <w:t xml:space="preserve">paper that the risk from appeals has been the principal risk which has emerged in </w:t>
      </w:r>
      <w:r w:rsidRPr="0028688D" w:rsidDel="00400C98">
        <w:rPr>
          <w:rFonts w:ascii="Arial" w:eastAsia="Arial" w:hAnsi="Arial" w:cs="Arial"/>
          <w:color w:val="000000"/>
          <w:szCs w:val="22"/>
          <w:bdr w:val="nil"/>
          <w:lang w:eastAsia="en-GB"/>
        </w:rPr>
        <w:t xml:space="preserve">the </w:t>
      </w:r>
      <w:r w:rsidRPr="0028688D">
        <w:rPr>
          <w:rFonts w:ascii="Arial" w:eastAsia="Arial" w:hAnsi="Arial" w:cs="Arial"/>
          <w:color w:val="000000"/>
          <w:szCs w:val="22"/>
          <w:bdr w:val="nil"/>
          <w:lang w:eastAsia="en-GB"/>
        </w:rPr>
        <w:t>50 per cent system</w:t>
      </w:r>
      <w:r w:rsidR="00E56E72" w:rsidRPr="0028688D">
        <w:rPr>
          <w:rFonts w:ascii="Arial" w:eastAsia="Arial" w:hAnsi="Arial" w:cs="Arial"/>
          <w:color w:val="000000"/>
          <w:szCs w:val="22"/>
          <w:bdr w:val="nil"/>
          <w:lang w:eastAsia="en-GB"/>
        </w:rPr>
        <w:t xml:space="preserve">. </w:t>
      </w:r>
      <w:r w:rsidR="00501B04" w:rsidRPr="0028688D">
        <w:rPr>
          <w:rFonts w:ascii="Arial" w:eastAsia="Arial" w:hAnsi="Arial" w:cs="Arial"/>
          <w:color w:val="000000"/>
          <w:szCs w:val="22"/>
          <w:bdr w:val="nil"/>
          <w:lang w:eastAsia="en-GB"/>
        </w:rPr>
        <w:t xml:space="preserve"> </w:t>
      </w:r>
      <w:r w:rsidR="00E56E72" w:rsidRPr="0028688D">
        <w:rPr>
          <w:rFonts w:ascii="Arial" w:eastAsia="Arial" w:hAnsi="Arial" w:cs="Arial"/>
          <w:color w:val="000000"/>
          <w:szCs w:val="22"/>
          <w:bdr w:val="nil"/>
          <w:lang w:eastAsia="en-GB"/>
        </w:rPr>
        <w:t>In 2020 local government potentially faces having to take on 75 per cent of provisions for appeals loss, including backdating</w:t>
      </w:r>
      <w:r w:rsidR="001060AC" w:rsidRPr="0028688D">
        <w:rPr>
          <w:rFonts w:ascii="Arial" w:eastAsia="Arial" w:hAnsi="Arial" w:cs="Arial"/>
          <w:color w:val="000000"/>
          <w:szCs w:val="22"/>
          <w:bdr w:val="nil"/>
          <w:lang w:eastAsia="en-GB"/>
        </w:rPr>
        <w:t xml:space="preserve"> and this needs to be resolved before 75 per cent business rates retention is introduced</w:t>
      </w:r>
      <w:r w:rsidR="00E56E72" w:rsidRPr="0028688D">
        <w:rPr>
          <w:rFonts w:ascii="Arial" w:eastAsia="Arial" w:hAnsi="Arial" w:cs="Arial"/>
          <w:color w:val="000000"/>
          <w:szCs w:val="22"/>
          <w:bdr w:val="nil"/>
          <w:lang w:eastAsia="en-GB"/>
        </w:rPr>
        <w:t>.</w:t>
      </w:r>
    </w:p>
    <w:p w14:paraId="67418A60" w14:textId="267358F4" w:rsidR="00D062C7" w:rsidRPr="0028688D" w:rsidRDefault="00D062C7" w:rsidP="0028688D">
      <w:pPr>
        <w:ind w:right="-938"/>
        <w:rPr>
          <w:rFonts w:ascii="Arial" w:eastAsia="Arial" w:hAnsi="Arial" w:cs="Arial"/>
          <w:color w:val="000000"/>
          <w:szCs w:val="22"/>
          <w:bdr w:val="nil"/>
          <w:lang w:eastAsia="en-GB"/>
        </w:rPr>
      </w:pPr>
    </w:p>
    <w:p w14:paraId="69D3294C" w14:textId="10A93A46" w:rsidR="002C77CD" w:rsidRPr="0028688D" w:rsidRDefault="00D062C7" w:rsidP="0028688D">
      <w:pPr>
        <w:keepNext/>
        <w:ind w:right="-938"/>
        <w:rPr>
          <w:rFonts w:ascii="Arial" w:eastAsia="Arial,Arial Unicode MS" w:hAnsi="Arial" w:cs="Arial"/>
          <w:b/>
          <w:bCs/>
          <w:color w:val="000000" w:themeColor="text1"/>
          <w:szCs w:val="22"/>
          <w:lang w:eastAsia="en-GB"/>
        </w:rPr>
      </w:pPr>
      <w:r w:rsidRPr="0028688D">
        <w:rPr>
          <w:rFonts w:ascii="Arial" w:eastAsia="Arial" w:hAnsi="Arial" w:cs="Arial"/>
          <w:b/>
          <w:bCs/>
          <w:color w:val="000000"/>
          <w:szCs w:val="22"/>
          <w:bdr w:val="nil"/>
          <w:lang w:eastAsia="en-GB"/>
        </w:rPr>
        <w:t>MHCLG proposal</w:t>
      </w:r>
      <w:r w:rsidR="00FE3F0C" w:rsidRPr="0028688D">
        <w:rPr>
          <w:rFonts w:ascii="Arial" w:eastAsia="Arial" w:hAnsi="Arial" w:cs="Arial"/>
          <w:b/>
          <w:bCs/>
          <w:color w:val="000000"/>
          <w:szCs w:val="22"/>
          <w:bdr w:val="nil"/>
          <w:lang w:eastAsia="en-GB"/>
        </w:rPr>
        <w:t>s</w:t>
      </w:r>
    </w:p>
    <w:p w14:paraId="3A943201" w14:textId="77777777" w:rsidR="009A6D05" w:rsidRPr="0028688D" w:rsidRDefault="009A6D05" w:rsidP="0028688D">
      <w:pPr>
        <w:keepNext/>
        <w:ind w:right="-938"/>
        <w:rPr>
          <w:rFonts w:ascii="Arial" w:eastAsia="Arial Unicode MS" w:hAnsi="Arial" w:cs="Arial"/>
          <w:b/>
          <w:color w:val="000000"/>
          <w:szCs w:val="22"/>
          <w:u w:color="000000"/>
          <w:bdr w:val="nil"/>
          <w:lang w:eastAsia="en-GB"/>
        </w:rPr>
      </w:pPr>
    </w:p>
    <w:p w14:paraId="472D5291" w14:textId="0B2E8622" w:rsidR="00FE3F0C" w:rsidRPr="0028688D" w:rsidRDefault="002C77CD"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The LGA is in favour of a centrally man</w:t>
      </w:r>
      <w:r w:rsidR="00A20A48" w:rsidRPr="0028688D">
        <w:rPr>
          <w:rFonts w:ascii="Arial" w:eastAsia="Arial" w:hAnsi="Arial" w:cs="Arial"/>
          <w:color w:val="000000"/>
          <w:szCs w:val="22"/>
          <w:bdr w:val="nil"/>
          <w:lang w:eastAsia="en-GB"/>
        </w:rPr>
        <w:t xml:space="preserve">aged system </w:t>
      </w:r>
      <w:r w:rsidR="00145E8C" w:rsidRPr="0028688D">
        <w:rPr>
          <w:rFonts w:ascii="Arial" w:eastAsia="Arial" w:hAnsi="Arial" w:cs="Arial"/>
          <w:color w:val="000000"/>
          <w:szCs w:val="22"/>
          <w:bdr w:val="nil"/>
          <w:lang w:eastAsia="en-GB"/>
        </w:rPr>
        <w:t xml:space="preserve">to cover losses from </w:t>
      </w:r>
      <w:r w:rsidR="0073387D" w:rsidRPr="0028688D">
        <w:rPr>
          <w:rFonts w:ascii="Arial" w:eastAsia="Arial" w:hAnsi="Arial" w:cs="Arial"/>
          <w:color w:val="000000"/>
          <w:szCs w:val="22"/>
          <w:bdr w:val="nil"/>
          <w:lang w:eastAsia="en-GB"/>
        </w:rPr>
        <w:t>appeals and</w:t>
      </w:r>
      <w:r w:rsidR="00A20A48" w:rsidRPr="0028688D">
        <w:rPr>
          <w:rFonts w:ascii="Arial" w:eastAsia="Arial" w:hAnsi="Arial" w:cs="Arial"/>
          <w:color w:val="000000"/>
          <w:szCs w:val="22"/>
          <w:bdr w:val="nil"/>
          <w:lang w:eastAsia="en-GB"/>
        </w:rPr>
        <w:t xml:space="preserve"> is pleased</w:t>
      </w:r>
      <w:r w:rsidRPr="0028688D">
        <w:rPr>
          <w:rFonts w:ascii="Arial" w:eastAsia="Arial" w:hAnsi="Arial" w:cs="Arial"/>
          <w:color w:val="000000"/>
          <w:szCs w:val="22"/>
          <w:bdr w:val="nil"/>
          <w:lang w:eastAsia="en-GB"/>
        </w:rPr>
        <w:t xml:space="preserve"> that the Government </w:t>
      </w:r>
      <w:r w:rsidR="00FE3F0C" w:rsidRPr="0028688D">
        <w:rPr>
          <w:rFonts w:ascii="Arial" w:eastAsia="Arial" w:hAnsi="Arial" w:cs="Arial"/>
          <w:color w:val="000000"/>
          <w:szCs w:val="22"/>
          <w:bdr w:val="nil"/>
          <w:lang w:eastAsia="en-GB"/>
        </w:rPr>
        <w:t xml:space="preserve">has been considering how to </w:t>
      </w:r>
      <w:r w:rsidRPr="0028688D">
        <w:rPr>
          <w:rFonts w:ascii="Arial" w:eastAsia="Arial" w:hAnsi="Arial" w:cs="Arial"/>
          <w:color w:val="000000"/>
          <w:szCs w:val="22"/>
          <w:bdr w:val="nil"/>
          <w:lang w:eastAsia="en-GB"/>
        </w:rPr>
        <w:t xml:space="preserve">reform the business </w:t>
      </w:r>
      <w:r w:rsidR="00E65E3C" w:rsidRPr="0028688D">
        <w:rPr>
          <w:rFonts w:ascii="Arial" w:eastAsia="Arial" w:hAnsi="Arial" w:cs="Arial"/>
          <w:color w:val="000000"/>
          <w:szCs w:val="22"/>
          <w:bdr w:val="nil"/>
          <w:lang w:eastAsia="en-GB"/>
        </w:rPr>
        <w:t xml:space="preserve">rates </w:t>
      </w:r>
      <w:r w:rsidRPr="0028688D">
        <w:rPr>
          <w:rFonts w:ascii="Arial" w:eastAsia="Arial" w:hAnsi="Arial" w:cs="Arial"/>
          <w:color w:val="000000"/>
          <w:szCs w:val="22"/>
          <w:bdr w:val="nil"/>
          <w:lang w:eastAsia="en-GB"/>
        </w:rPr>
        <w:t xml:space="preserve">retention system </w:t>
      </w:r>
      <w:r w:rsidR="00FE3F0C" w:rsidRPr="0028688D">
        <w:rPr>
          <w:rFonts w:ascii="Arial" w:eastAsia="Arial" w:hAnsi="Arial" w:cs="Arial"/>
          <w:color w:val="000000"/>
          <w:szCs w:val="22"/>
          <w:bdr w:val="nil"/>
          <w:lang w:eastAsia="en-GB"/>
        </w:rPr>
        <w:t>to deal</w:t>
      </w:r>
      <w:r w:rsidRPr="0028688D">
        <w:rPr>
          <w:rFonts w:ascii="Arial" w:eastAsia="Arial" w:hAnsi="Arial" w:cs="Arial"/>
          <w:color w:val="000000"/>
          <w:szCs w:val="22"/>
          <w:bdr w:val="nil"/>
          <w:lang w:eastAsia="en-GB"/>
        </w:rPr>
        <w:t xml:space="preserve"> with appeals.</w:t>
      </w:r>
    </w:p>
    <w:p w14:paraId="1D57D02E" w14:textId="77777777" w:rsidR="00FE3F0C" w:rsidRPr="0028688D" w:rsidRDefault="00FE3F0C" w:rsidP="0028688D">
      <w:pPr>
        <w:ind w:left="426" w:right="-938" w:hanging="426"/>
        <w:rPr>
          <w:rFonts w:ascii="Arial" w:eastAsia="Arial" w:hAnsi="Arial" w:cs="Arial"/>
          <w:color w:val="000000"/>
          <w:szCs w:val="22"/>
          <w:bdr w:val="nil"/>
          <w:lang w:eastAsia="en-GB"/>
        </w:rPr>
      </w:pPr>
    </w:p>
    <w:p w14:paraId="47BB0896" w14:textId="0E9C8CB0" w:rsidR="009A6D05" w:rsidRPr="0028688D" w:rsidRDefault="002C77CD"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 xml:space="preserve">As the </w:t>
      </w:r>
      <w:r w:rsidR="001060AC" w:rsidRPr="0028688D">
        <w:rPr>
          <w:rFonts w:ascii="Arial" w:eastAsia="Arial" w:hAnsi="Arial" w:cs="Arial"/>
          <w:color w:val="000000"/>
          <w:szCs w:val="22"/>
          <w:bdr w:val="nil"/>
          <w:lang w:eastAsia="en-GB"/>
        </w:rPr>
        <w:t xml:space="preserve">MHCLG </w:t>
      </w:r>
      <w:r w:rsidR="000D799F" w:rsidRPr="0028688D">
        <w:rPr>
          <w:rFonts w:ascii="Arial" w:eastAsia="Arial" w:hAnsi="Arial" w:cs="Arial"/>
          <w:color w:val="000000"/>
          <w:szCs w:val="22"/>
          <w:bdr w:val="nil"/>
          <w:lang w:eastAsia="en-GB"/>
        </w:rPr>
        <w:t>paper</w:t>
      </w:r>
      <w:r w:rsidRPr="0028688D">
        <w:rPr>
          <w:rFonts w:ascii="Arial" w:eastAsia="Arial" w:hAnsi="Arial" w:cs="Arial"/>
          <w:color w:val="000000"/>
          <w:szCs w:val="22"/>
          <w:bdr w:val="nil"/>
          <w:lang w:eastAsia="en-GB"/>
        </w:rPr>
        <w:t xml:space="preserve"> acknowledges, there is still a lot of work to do on determining precisely how loss due to ‘valuation error’ is defined and measured</w:t>
      </w:r>
      <w:r w:rsidR="009E2216" w:rsidRPr="0028688D">
        <w:rPr>
          <w:rFonts w:ascii="Arial" w:eastAsia="Arial,Arial Unicode MS" w:hAnsi="Arial" w:cs="Arial"/>
          <w:color w:val="000000"/>
          <w:szCs w:val="22"/>
          <w:bdr w:val="nil"/>
          <w:lang w:eastAsia="en-GB"/>
        </w:rPr>
        <w:t>,</w:t>
      </w:r>
      <w:r w:rsidRPr="0028688D">
        <w:rPr>
          <w:rFonts w:ascii="Arial" w:eastAsia="Arial" w:hAnsi="Arial" w:cs="Arial"/>
          <w:color w:val="000000"/>
          <w:szCs w:val="22"/>
          <w:bdr w:val="nil"/>
          <w:lang w:eastAsia="en-GB"/>
        </w:rPr>
        <w:t xml:space="preserve"> and exactly how and when these payments should be made, including how </w:t>
      </w:r>
      <w:r w:rsidR="00DC3BEE" w:rsidRPr="0028688D">
        <w:rPr>
          <w:rFonts w:ascii="Arial" w:eastAsia="Arial" w:hAnsi="Arial" w:cs="Arial"/>
          <w:color w:val="000000"/>
          <w:szCs w:val="22"/>
          <w:bdr w:val="nil"/>
          <w:lang w:eastAsia="en-GB"/>
        </w:rPr>
        <w:t xml:space="preserve">the </w:t>
      </w:r>
      <w:r w:rsidRPr="0028688D">
        <w:rPr>
          <w:rFonts w:ascii="Arial" w:eastAsia="Arial" w:hAnsi="Arial" w:cs="Arial"/>
          <w:color w:val="000000"/>
          <w:szCs w:val="22"/>
          <w:bdr w:val="nil"/>
          <w:lang w:eastAsia="en-GB"/>
        </w:rPr>
        <w:t>revaluation cycles fit in with this.</w:t>
      </w:r>
    </w:p>
    <w:p w14:paraId="214EC5DA" w14:textId="37EFB228" w:rsidR="00CB5CBC" w:rsidRPr="0028688D" w:rsidRDefault="00CB5CBC" w:rsidP="0028688D">
      <w:pPr>
        <w:ind w:left="426" w:right="-938" w:hanging="426"/>
        <w:rPr>
          <w:rFonts w:ascii="Arial" w:eastAsia="Arial" w:hAnsi="Arial" w:cs="Arial"/>
          <w:color w:val="000000"/>
          <w:szCs w:val="22"/>
          <w:bdr w:val="nil"/>
          <w:lang w:eastAsia="en-GB"/>
        </w:rPr>
      </w:pPr>
    </w:p>
    <w:p w14:paraId="009762E2" w14:textId="7C40B2FD" w:rsidR="00FE3F0C" w:rsidRPr="0028688D" w:rsidRDefault="00FE3F0C"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 xml:space="preserve">We </w:t>
      </w:r>
      <w:r w:rsidR="00312E60" w:rsidRPr="0028688D">
        <w:rPr>
          <w:rFonts w:ascii="Arial" w:eastAsia="Arial" w:hAnsi="Arial" w:cs="Arial"/>
          <w:color w:val="000000"/>
          <w:szCs w:val="22"/>
          <w:bdr w:val="nil"/>
          <w:lang w:eastAsia="en-GB"/>
        </w:rPr>
        <w:t>note the MH</w:t>
      </w:r>
      <w:r w:rsidR="00922866" w:rsidRPr="0028688D">
        <w:rPr>
          <w:rFonts w:ascii="Arial" w:eastAsia="Arial" w:hAnsi="Arial" w:cs="Arial"/>
          <w:color w:val="000000"/>
          <w:szCs w:val="22"/>
          <w:bdr w:val="nil"/>
          <w:lang w:eastAsia="en-GB"/>
        </w:rPr>
        <w:t xml:space="preserve">CLG preference </w:t>
      </w:r>
      <w:r w:rsidR="00312E60" w:rsidRPr="0028688D">
        <w:rPr>
          <w:rFonts w:ascii="Arial" w:eastAsia="Arial" w:hAnsi="Arial" w:cs="Arial"/>
          <w:color w:val="000000"/>
          <w:szCs w:val="22"/>
          <w:bdr w:val="nil"/>
          <w:lang w:eastAsia="en-GB"/>
        </w:rPr>
        <w:t xml:space="preserve">not </w:t>
      </w:r>
      <w:r w:rsidR="00922866" w:rsidRPr="0028688D">
        <w:rPr>
          <w:rFonts w:ascii="Arial" w:eastAsia="Arial" w:hAnsi="Arial" w:cs="Arial"/>
          <w:color w:val="000000"/>
          <w:szCs w:val="22"/>
          <w:bdr w:val="nil"/>
          <w:lang w:eastAsia="en-GB"/>
        </w:rPr>
        <w:t xml:space="preserve">to </w:t>
      </w:r>
      <w:r w:rsidR="00312E60" w:rsidRPr="0028688D">
        <w:rPr>
          <w:rFonts w:ascii="Arial" w:eastAsia="Arial" w:hAnsi="Arial" w:cs="Arial"/>
          <w:color w:val="000000"/>
          <w:szCs w:val="22"/>
          <w:bdr w:val="nil"/>
          <w:lang w:eastAsia="en-GB"/>
        </w:rPr>
        <w:t>compensate local authorities for</w:t>
      </w:r>
      <w:r w:rsidRPr="0028688D">
        <w:rPr>
          <w:rFonts w:ascii="Arial" w:eastAsia="Arial" w:hAnsi="Arial" w:cs="Arial"/>
          <w:color w:val="000000"/>
          <w:szCs w:val="22"/>
          <w:bdr w:val="nil"/>
          <w:lang w:eastAsia="en-GB"/>
        </w:rPr>
        <w:t xml:space="preserve"> all losses as a result </w:t>
      </w:r>
      <w:r w:rsidR="00312E60" w:rsidRPr="0028688D">
        <w:rPr>
          <w:rFonts w:ascii="Arial" w:eastAsia="Arial" w:hAnsi="Arial" w:cs="Arial"/>
          <w:color w:val="000000"/>
          <w:szCs w:val="22"/>
          <w:bdr w:val="nil"/>
          <w:lang w:eastAsia="en-GB"/>
        </w:rPr>
        <w:t xml:space="preserve">of </w:t>
      </w:r>
      <w:r w:rsidR="00212692" w:rsidRPr="0028688D">
        <w:rPr>
          <w:rFonts w:ascii="Arial" w:eastAsia="Arial" w:hAnsi="Arial" w:cs="Arial"/>
          <w:color w:val="000000"/>
          <w:szCs w:val="22"/>
          <w:bdr w:val="nil"/>
          <w:lang w:eastAsia="en-GB"/>
        </w:rPr>
        <w:t>development</w:t>
      </w:r>
      <w:r w:rsidR="00922866" w:rsidRPr="0028688D">
        <w:rPr>
          <w:rFonts w:ascii="Arial" w:eastAsia="Arial" w:hAnsi="Arial" w:cs="Arial"/>
          <w:color w:val="000000"/>
          <w:szCs w:val="22"/>
          <w:bdr w:val="nil"/>
          <w:lang w:eastAsia="en-GB"/>
        </w:rPr>
        <w:t xml:space="preserve"> a</w:t>
      </w:r>
      <w:r w:rsidR="00CB5CBC" w:rsidRPr="0028688D">
        <w:rPr>
          <w:rFonts w:ascii="Arial" w:eastAsia="Arial" w:hAnsi="Arial" w:cs="Arial"/>
          <w:color w:val="000000"/>
          <w:szCs w:val="22"/>
          <w:bdr w:val="nil"/>
          <w:lang w:eastAsia="en-GB"/>
        </w:rPr>
        <w:t xml:space="preserve">nd only compensate for </w:t>
      </w:r>
      <w:r w:rsidR="00922866" w:rsidRPr="0028688D">
        <w:rPr>
          <w:rFonts w:ascii="Arial" w:eastAsia="Arial" w:hAnsi="Arial" w:cs="Arial"/>
          <w:color w:val="000000"/>
          <w:szCs w:val="22"/>
          <w:bdr w:val="nil"/>
          <w:lang w:eastAsia="en-GB"/>
        </w:rPr>
        <w:t>appeal losses</w:t>
      </w:r>
      <w:r w:rsidR="00312E60" w:rsidRPr="0028688D">
        <w:rPr>
          <w:rFonts w:ascii="Arial" w:eastAsia="Arial" w:hAnsi="Arial" w:cs="Arial"/>
          <w:color w:val="000000"/>
          <w:szCs w:val="22"/>
          <w:bdr w:val="nil"/>
          <w:lang w:eastAsia="en-GB"/>
        </w:rPr>
        <w:t xml:space="preserve">.  </w:t>
      </w:r>
      <w:r w:rsidR="00922866" w:rsidRPr="0028688D">
        <w:rPr>
          <w:rFonts w:ascii="Arial" w:eastAsia="Arial" w:hAnsi="Arial" w:cs="Arial"/>
          <w:color w:val="000000"/>
          <w:szCs w:val="22"/>
          <w:bdr w:val="nil"/>
          <w:lang w:eastAsia="en-GB"/>
        </w:rPr>
        <w:t>Authorities may raise c</w:t>
      </w:r>
      <w:r w:rsidR="00CB5CBC" w:rsidRPr="0028688D">
        <w:rPr>
          <w:rFonts w:ascii="Arial" w:eastAsia="Arial" w:hAnsi="Arial" w:cs="Arial"/>
          <w:color w:val="000000"/>
          <w:szCs w:val="22"/>
          <w:bdr w:val="nil"/>
          <w:lang w:eastAsia="en-GB"/>
        </w:rPr>
        <w:t>o</w:t>
      </w:r>
      <w:r w:rsidR="00922866" w:rsidRPr="0028688D">
        <w:rPr>
          <w:rFonts w:ascii="Arial" w:eastAsia="Arial" w:hAnsi="Arial" w:cs="Arial"/>
          <w:color w:val="000000"/>
          <w:szCs w:val="22"/>
          <w:bdr w:val="nil"/>
          <w:lang w:eastAsia="en-GB"/>
        </w:rPr>
        <w:t xml:space="preserve">ncerns about this and therefore it is important to consult on this more widely and </w:t>
      </w:r>
      <w:r w:rsidR="00922866" w:rsidRPr="0028688D">
        <w:rPr>
          <w:rFonts w:ascii="Arial" w:eastAsia="Arial" w:hAnsi="Arial" w:cs="Arial"/>
          <w:color w:val="000000"/>
          <w:szCs w:val="22"/>
          <w:bdr w:val="nil"/>
          <w:lang w:eastAsia="en-GB"/>
        </w:rPr>
        <w:lastRenderedPageBreak/>
        <w:t>consider the role and level of the safety net for this</w:t>
      </w:r>
      <w:r w:rsidR="00212692" w:rsidRPr="0028688D">
        <w:rPr>
          <w:rFonts w:ascii="Arial" w:eastAsia="Arial" w:hAnsi="Arial" w:cs="Arial"/>
          <w:color w:val="000000"/>
          <w:szCs w:val="22"/>
          <w:bdr w:val="nil"/>
          <w:lang w:eastAsia="en-GB"/>
        </w:rPr>
        <w:t>.</w:t>
      </w:r>
    </w:p>
    <w:p w14:paraId="2FBEAF46" w14:textId="77777777" w:rsidR="00212692" w:rsidRPr="0028688D" w:rsidRDefault="00212692" w:rsidP="0028688D">
      <w:pPr>
        <w:ind w:left="426" w:right="-938" w:hanging="426"/>
        <w:rPr>
          <w:rFonts w:ascii="Arial" w:eastAsia="Arial" w:hAnsi="Arial" w:cs="Arial"/>
          <w:color w:val="000000"/>
          <w:szCs w:val="22"/>
          <w:bdr w:val="nil"/>
          <w:lang w:eastAsia="en-GB"/>
        </w:rPr>
      </w:pPr>
    </w:p>
    <w:p w14:paraId="533A88C7" w14:textId="4BB7C6A1" w:rsidR="00212692" w:rsidRPr="0028688D" w:rsidRDefault="00212692"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 xml:space="preserve">We note that MHCLG is proposing to use </w:t>
      </w:r>
      <w:r w:rsidR="001060AC" w:rsidRPr="0028688D">
        <w:rPr>
          <w:rFonts w:ascii="Arial" w:eastAsia="Arial" w:hAnsi="Arial" w:cs="Arial"/>
          <w:color w:val="000000"/>
          <w:szCs w:val="22"/>
          <w:bdr w:val="nil"/>
          <w:lang w:eastAsia="en-GB"/>
        </w:rPr>
        <w:t xml:space="preserve">those changes which are backdated to the start of a list </w:t>
      </w:r>
      <w:r w:rsidRPr="0028688D">
        <w:rPr>
          <w:rFonts w:ascii="Arial" w:eastAsia="Arial" w:hAnsi="Arial" w:cs="Arial"/>
          <w:color w:val="000000"/>
          <w:szCs w:val="22"/>
          <w:bdr w:val="nil"/>
          <w:lang w:eastAsia="en-GB"/>
        </w:rPr>
        <w:t xml:space="preserve">as a proxy </w:t>
      </w:r>
      <w:r w:rsidR="001060AC" w:rsidRPr="0028688D">
        <w:rPr>
          <w:rFonts w:ascii="Arial" w:eastAsia="Arial" w:hAnsi="Arial" w:cs="Arial"/>
          <w:color w:val="000000"/>
          <w:szCs w:val="22"/>
          <w:bdr w:val="nil"/>
          <w:lang w:eastAsia="en-GB"/>
        </w:rPr>
        <w:t>for revaluation changes</w:t>
      </w:r>
      <w:r w:rsidRPr="0028688D">
        <w:rPr>
          <w:rFonts w:ascii="Arial" w:eastAsia="Arial" w:hAnsi="Arial" w:cs="Arial"/>
          <w:color w:val="000000"/>
          <w:szCs w:val="22"/>
          <w:bdr w:val="nil"/>
          <w:lang w:eastAsia="en-GB"/>
        </w:rPr>
        <w:t>.  We would like to see more work on this and note that no operational alternative has been suggested.</w:t>
      </w:r>
      <w:r w:rsidR="00D73BE4" w:rsidRPr="0028688D">
        <w:rPr>
          <w:rFonts w:ascii="Arial" w:eastAsia="Arial" w:hAnsi="Arial" w:cs="Arial"/>
          <w:color w:val="000000"/>
          <w:szCs w:val="22"/>
          <w:bdr w:val="nil"/>
          <w:lang w:eastAsia="en-GB"/>
        </w:rPr>
        <w:t xml:space="preserve">  Going forward, it should be explored whether information on the reason for a valuation can be provided under Check, Challenge and Appeal.</w:t>
      </w:r>
    </w:p>
    <w:p w14:paraId="0465752A" w14:textId="2CAA7500" w:rsidR="00501B04" w:rsidRPr="0028688D" w:rsidRDefault="00501B04" w:rsidP="0028688D">
      <w:pPr>
        <w:ind w:left="426" w:right="-938" w:hanging="426"/>
        <w:rPr>
          <w:rFonts w:ascii="Arial" w:eastAsia="Arial" w:hAnsi="Arial" w:cs="Arial"/>
          <w:color w:val="000000"/>
          <w:szCs w:val="22"/>
          <w:bdr w:val="nil"/>
          <w:lang w:eastAsia="en-GB"/>
        </w:rPr>
      </w:pPr>
    </w:p>
    <w:p w14:paraId="08DE14EE" w14:textId="38FEBCEE" w:rsidR="00501B04" w:rsidRPr="0028688D" w:rsidRDefault="00501B04"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The interaction between the system for manging appeals risk and the safety net will also need to be considered carefully.</w:t>
      </w:r>
    </w:p>
    <w:p w14:paraId="0AEA574F" w14:textId="77777777" w:rsidR="00212692" w:rsidRPr="0028688D" w:rsidRDefault="00212692" w:rsidP="0028688D">
      <w:pPr>
        <w:ind w:left="426" w:right="-938" w:hanging="426"/>
        <w:rPr>
          <w:rFonts w:ascii="Arial" w:eastAsia="Arial" w:hAnsi="Arial" w:cs="Arial"/>
          <w:color w:val="000000"/>
          <w:szCs w:val="22"/>
          <w:bdr w:val="nil"/>
          <w:lang w:eastAsia="en-GB"/>
        </w:rPr>
      </w:pPr>
    </w:p>
    <w:p w14:paraId="6E371E43" w14:textId="5EB79C80" w:rsidR="00FE3F0C" w:rsidRPr="0028688D" w:rsidRDefault="00212692" w:rsidP="0028688D">
      <w:pPr>
        <w:ind w:right="-938"/>
        <w:rPr>
          <w:rFonts w:ascii="Arial" w:eastAsia="Arial" w:hAnsi="Arial" w:cs="Arial"/>
          <w:b/>
          <w:color w:val="000000"/>
          <w:szCs w:val="22"/>
          <w:bdr w:val="nil"/>
          <w:lang w:eastAsia="en-GB"/>
        </w:rPr>
      </w:pPr>
      <w:r w:rsidRPr="0028688D">
        <w:rPr>
          <w:rFonts w:ascii="Arial" w:eastAsia="Arial" w:hAnsi="Arial" w:cs="Arial"/>
          <w:b/>
          <w:color w:val="000000"/>
          <w:szCs w:val="22"/>
          <w:bdr w:val="nil"/>
          <w:lang w:eastAsia="en-GB"/>
        </w:rPr>
        <w:t>Funding</w:t>
      </w:r>
    </w:p>
    <w:p w14:paraId="39C40D87" w14:textId="6BCBC0C4" w:rsidR="00FE3F0C" w:rsidRPr="0028688D" w:rsidRDefault="00FE3F0C" w:rsidP="0028688D">
      <w:pPr>
        <w:ind w:right="-938"/>
        <w:rPr>
          <w:rFonts w:ascii="Arial" w:eastAsia="Arial,Arial Unicode MS" w:hAnsi="Arial" w:cs="Arial"/>
          <w:color w:val="000000" w:themeColor="text1"/>
          <w:szCs w:val="22"/>
          <w:lang w:eastAsia="en-GB"/>
        </w:rPr>
      </w:pPr>
    </w:p>
    <w:p w14:paraId="60ACD070" w14:textId="0B572C1D" w:rsidR="00821904" w:rsidRPr="0028688D" w:rsidRDefault="00293846"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 xml:space="preserve">We have previously </w:t>
      </w:r>
      <w:r w:rsidR="006B7A24" w:rsidRPr="0028688D">
        <w:rPr>
          <w:rFonts w:ascii="Arial" w:eastAsia="Arial" w:hAnsi="Arial" w:cs="Arial"/>
          <w:color w:val="000000"/>
          <w:szCs w:val="22"/>
          <w:bdr w:val="nil"/>
          <w:lang w:eastAsia="en-GB"/>
        </w:rPr>
        <w:t xml:space="preserve">argued </w:t>
      </w:r>
      <w:r w:rsidRPr="0028688D">
        <w:rPr>
          <w:rFonts w:ascii="Arial" w:eastAsia="Arial" w:hAnsi="Arial" w:cs="Arial"/>
          <w:color w:val="000000"/>
          <w:szCs w:val="22"/>
          <w:bdr w:val="nil"/>
          <w:lang w:eastAsia="en-GB"/>
        </w:rPr>
        <w:t xml:space="preserve">that </w:t>
      </w:r>
      <w:r w:rsidR="00501B04" w:rsidRPr="0028688D">
        <w:rPr>
          <w:rFonts w:ascii="Arial" w:eastAsia="Arial" w:hAnsi="Arial" w:cs="Arial"/>
          <w:color w:val="000000"/>
          <w:szCs w:val="22"/>
          <w:bdr w:val="nil"/>
          <w:lang w:eastAsia="en-GB"/>
        </w:rPr>
        <w:t xml:space="preserve">the </w:t>
      </w:r>
      <w:r w:rsidR="00CB5CBC" w:rsidRPr="0028688D">
        <w:rPr>
          <w:rFonts w:ascii="Arial" w:eastAsia="Arial" w:hAnsi="Arial" w:cs="Arial"/>
          <w:color w:val="000000"/>
          <w:szCs w:val="22"/>
          <w:bdr w:val="nil"/>
          <w:lang w:eastAsia="en-GB"/>
        </w:rPr>
        <w:t>cost of appeals</w:t>
      </w:r>
      <w:r w:rsidRPr="0028688D">
        <w:rPr>
          <w:rFonts w:ascii="Arial" w:eastAsia="Arial" w:hAnsi="Arial" w:cs="Arial"/>
          <w:color w:val="000000"/>
          <w:szCs w:val="22"/>
          <w:bdr w:val="nil"/>
          <w:lang w:eastAsia="en-GB"/>
        </w:rPr>
        <w:t xml:space="preserve"> should be fu</w:t>
      </w:r>
      <w:r w:rsidR="00E65E3C" w:rsidRPr="0028688D">
        <w:rPr>
          <w:rFonts w:ascii="Arial" w:eastAsia="Arial" w:hAnsi="Arial" w:cs="Arial"/>
          <w:color w:val="000000"/>
          <w:szCs w:val="22"/>
          <w:bdr w:val="nil"/>
          <w:lang w:eastAsia="en-GB"/>
        </w:rPr>
        <w:t xml:space="preserve">nded from central list income. </w:t>
      </w:r>
      <w:r w:rsidR="00821904" w:rsidRPr="0028688D">
        <w:rPr>
          <w:rFonts w:ascii="Arial" w:eastAsia="Arial" w:hAnsi="Arial" w:cs="Arial"/>
          <w:color w:val="000000"/>
          <w:szCs w:val="22"/>
          <w:bdr w:val="nil"/>
          <w:lang w:eastAsia="en-GB"/>
        </w:rPr>
        <w:t>We note that MHCLG consider that this would not be fiscally neutral, as</w:t>
      </w:r>
      <w:r w:rsidR="00821904" w:rsidRPr="0028688D" w:rsidDel="007601CB">
        <w:rPr>
          <w:rFonts w:ascii="Arial" w:eastAsia="Arial" w:hAnsi="Arial" w:cs="Arial"/>
          <w:color w:val="000000"/>
          <w:szCs w:val="22"/>
          <w:bdr w:val="nil"/>
          <w:lang w:eastAsia="en-GB"/>
        </w:rPr>
        <w:t xml:space="preserve"> </w:t>
      </w:r>
      <w:r w:rsidR="00821904" w:rsidRPr="0028688D">
        <w:rPr>
          <w:rFonts w:ascii="Arial" w:eastAsia="Arial" w:hAnsi="Arial" w:cs="Arial"/>
          <w:color w:val="000000"/>
          <w:szCs w:val="22"/>
          <w:bdr w:val="nil"/>
          <w:lang w:eastAsia="en-GB"/>
        </w:rPr>
        <w:t>the paper states that central list income is already used indirectly to fund various grants to local government.  We therefore recommend that this is considered as part of our work on the Spending Review 2019.</w:t>
      </w:r>
    </w:p>
    <w:p w14:paraId="585F0DC4" w14:textId="77777777" w:rsidR="00821904" w:rsidRPr="0028688D" w:rsidRDefault="00821904" w:rsidP="0028688D">
      <w:pPr>
        <w:ind w:left="426" w:right="-938" w:hanging="426"/>
        <w:rPr>
          <w:rFonts w:ascii="Arial" w:eastAsia="Arial" w:hAnsi="Arial" w:cs="Arial"/>
          <w:color w:val="000000"/>
          <w:szCs w:val="22"/>
          <w:bdr w:val="nil"/>
          <w:lang w:eastAsia="en-GB"/>
        </w:rPr>
      </w:pPr>
    </w:p>
    <w:p w14:paraId="7AEF752A" w14:textId="79D459DE" w:rsidR="00CB5CBC" w:rsidRPr="0028688D" w:rsidRDefault="00CB5CBC"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We agree that in the absence of any other source of finance, a top-slice is the best a</w:t>
      </w:r>
      <w:r w:rsidR="00D73BE4" w:rsidRPr="0028688D">
        <w:rPr>
          <w:rFonts w:ascii="Arial" w:eastAsia="Arial" w:hAnsi="Arial" w:cs="Arial"/>
          <w:color w:val="000000"/>
          <w:szCs w:val="22"/>
          <w:bdr w:val="nil"/>
          <w:lang w:eastAsia="en-GB"/>
        </w:rPr>
        <w:t>lternative. We consider that the</w:t>
      </w:r>
      <w:r w:rsidRPr="0028688D">
        <w:rPr>
          <w:rFonts w:ascii="Arial" w:eastAsia="Arial" w:hAnsi="Arial" w:cs="Arial"/>
          <w:color w:val="000000"/>
          <w:szCs w:val="22"/>
          <w:bdr w:val="nil"/>
          <w:lang w:eastAsia="en-GB"/>
        </w:rPr>
        <w:t xml:space="preserve"> quantum needs to be kept under review so that the</w:t>
      </w:r>
      <w:r w:rsidR="005E26E2" w:rsidRPr="0028688D">
        <w:rPr>
          <w:rFonts w:ascii="Arial" w:eastAsia="Arial" w:hAnsi="Arial" w:cs="Arial"/>
          <w:color w:val="000000"/>
          <w:szCs w:val="22"/>
          <w:bdr w:val="nil"/>
          <w:lang w:eastAsia="en-GB"/>
        </w:rPr>
        <w:t xml:space="preserve">re is no danger of overprovision and the </w:t>
      </w:r>
      <w:r w:rsidRPr="0028688D">
        <w:rPr>
          <w:rFonts w:ascii="Arial" w:eastAsia="Arial" w:hAnsi="Arial" w:cs="Arial"/>
          <w:color w:val="000000"/>
          <w:szCs w:val="22"/>
          <w:bdr w:val="nil"/>
          <w:lang w:eastAsia="en-GB"/>
        </w:rPr>
        <w:t>top-slice is kept to the minimum.</w:t>
      </w:r>
    </w:p>
    <w:p w14:paraId="11029E4E" w14:textId="77777777" w:rsidR="00CB5CBC" w:rsidRPr="0028688D" w:rsidRDefault="00CB5CBC" w:rsidP="0028688D">
      <w:pPr>
        <w:ind w:left="426" w:right="-938" w:hanging="426"/>
        <w:rPr>
          <w:rFonts w:ascii="Arial" w:eastAsia="Arial" w:hAnsi="Arial" w:cs="Arial"/>
          <w:color w:val="000000"/>
          <w:szCs w:val="22"/>
          <w:bdr w:val="nil"/>
          <w:lang w:eastAsia="en-GB"/>
        </w:rPr>
      </w:pPr>
    </w:p>
    <w:p w14:paraId="5C83025F" w14:textId="7C52CDF1" w:rsidR="002C77CD" w:rsidRPr="0028688D" w:rsidRDefault="00D73BE4"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 xml:space="preserve">There is also the issue of </w:t>
      </w:r>
      <w:r w:rsidR="00CB5CBC" w:rsidRPr="0028688D">
        <w:rPr>
          <w:rFonts w:ascii="Arial" w:eastAsia="Arial" w:hAnsi="Arial" w:cs="Arial"/>
          <w:color w:val="000000"/>
          <w:szCs w:val="22"/>
          <w:bdr w:val="nil"/>
          <w:lang w:eastAsia="en-GB"/>
        </w:rPr>
        <w:t xml:space="preserve">when 75 per cent rates retention is introduced the </w:t>
      </w:r>
      <w:r w:rsidRPr="0028688D">
        <w:rPr>
          <w:rFonts w:ascii="Arial" w:eastAsia="Arial" w:hAnsi="Arial" w:cs="Arial"/>
          <w:color w:val="000000"/>
          <w:szCs w:val="22"/>
          <w:bdr w:val="nil"/>
          <w:lang w:eastAsia="en-GB"/>
        </w:rPr>
        <w:t xml:space="preserve">25 per cent </w:t>
      </w:r>
      <w:r w:rsidR="00CB5CBC" w:rsidRPr="0028688D">
        <w:rPr>
          <w:rFonts w:ascii="Arial" w:eastAsia="Arial" w:hAnsi="Arial" w:cs="Arial"/>
          <w:color w:val="000000"/>
          <w:szCs w:val="22"/>
          <w:bdr w:val="nil"/>
          <w:lang w:eastAsia="en-GB"/>
        </w:rPr>
        <w:t>share of the cost of appeals which would hav</w:t>
      </w:r>
      <w:r w:rsidRPr="0028688D">
        <w:rPr>
          <w:rFonts w:ascii="Arial" w:eastAsia="Arial" w:hAnsi="Arial" w:cs="Arial"/>
          <w:color w:val="000000"/>
          <w:szCs w:val="22"/>
          <w:bdr w:val="nil"/>
          <w:lang w:eastAsia="en-GB"/>
        </w:rPr>
        <w:t>e fallen on the central share under</w:t>
      </w:r>
      <w:r w:rsidR="00CB5CBC" w:rsidRPr="0028688D">
        <w:rPr>
          <w:rFonts w:ascii="Arial" w:eastAsia="Arial" w:hAnsi="Arial" w:cs="Arial"/>
          <w:color w:val="000000"/>
          <w:szCs w:val="22"/>
          <w:bdr w:val="nil"/>
          <w:lang w:eastAsia="en-GB"/>
        </w:rPr>
        <w:t xml:space="preserve"> the 50 per cent scheme</w:t>
      </w:r>
      <w:r w:rsidRPr="0028688D">
        <w:rPr>
          <w:rFonts w:ascii="Arial" w:eastAsia="Arial" w:hAnsi="Arial" w:cs="Arial"/>
          <w:color w:val="000000"/>
          <w:szCs w:val="22"/>
          <w:bdr w:val="nil"/>
          <w:lang w:eastAsia="en-GB"/>
        </w:rPr>
        <w:t xml:space="preserve">.  This </w:t>
      </w:r>
      <w:r w:rsidR="00CB5CBC" w:rsidRPr="0028688D">
        <w:rPr>
          <w:rFonts w:ascii="Arial" w:eastAsia="Arial" w:hAnsi="Arial" w:cs="Arial"/>
          <w:color w:val="000000"/>
          <w:szCs w:val="22"/>
          <w:bdr w:val="nil"/>
          <w:lang w:eastAsia="en-GB"/>
        </w:rPr>
        <w:t>should be funded by central government and not from a top-slice</w:t>
      </w:r>
      <w:r w:rsidR="00AE66B2" w:rsidRPr="0028688D">
        <w:rPr>
          <w:rFonts w:ascii="Arial" w:eastAsia="Arial" w:hAnsi="Arial" w:cs="Arial"/>
          <w:color w:val="000000"/>
          <w:szCs w:val="22"/>
          <w:bdr w:val="nil"/>
          <w:lang w:eastAsia="en-GB"/>
        </w:rPr>
        <w:t>.</w:t>
      </w:r>
      <w:r w:rsidR="000161CA" w:rsidRPr="0028688D">
        <w:rPr>
          <w:rFonts w:ascii="Arial" w:eastAsia="Arial" w:hAnsi="Arial" w:cs="Arial"/>
          <w:color w:val="000000"/>
          <w:szCs w:val="22"/>
          <w:bdr w:val="nil"/>
          <w:lang w:eastAsia="en-GB"/>
        </w:rPr>
        <w:t xml:space="preserve"> Further work should also consider what would happen if the provision for appeals in the multiplier set at revaluation is insufficient.</w:t>
      </w:r>
    </w:p>
    <w:p w14:paraId="20CCAC56" w14:textId="77777777" w:rsidR="00212692" w:rsidRPr="0028688D" w:rsidRDefault="00212692" w:rsidP="0028688D">
      <w:pPr>
        <w:ind w:right="-938"/>
        <w:rPr>
          <w:rFonts w:ascii="Arial" w:eastAsia="Arial" w:hAnsi="Arial" w:cs="Arial"/>
          <w:color w:val="000000"/>
          <w:szCs w:val="22"/>
          <w:bdr w:val="nil"/>
          <w:lang w:eastAsia="en-GB"/>
        </w:rPr>
      </w:pPr>
    </w:p>
    <w:p w14:paraId="2BE2CC80" w14:textId="1AD710BF" w:rsidR="00212692" w:rsidRPr="0028688D" w:rsidRDefault="00212692" w:rsidP="0028688D">
      <w:pPr>
        <w:ind w:right="-938"/>
        <w:rPr>
          <w:rFonts w:ascii="Arial" w:eastAsia="Arial" w:hAnsi="Arial" w:cs="Arial"/>
          <w:b/>
          <w:color w:val="000000"/>
          <w:szCs w:val="22"/>
          <w:bdr w:val="nil"/>
          <w:lang w:eastAsia="en-GB"/>
        </w:rPr>
      </w:pPr>
      <w:r w:rsidRPr="0028688D">
        <w:rPr>
          <w:rFonts w:ascii="Arial" w:eastAsia="Arial" w:hAnsi="Arial" w:cs="Arial"/>
          <w:b/>
          <w:color w:val="000000"/>
          <w:szCs w:val="22"/>
          <w:bdr w:val="nil"/>
          <w:lang w:eastAsia="en-GB"/>
        </w:rPr>
        <w:t>Timing</w:t>
      </w:r>
    </w:p>
    <w:p w14:paraId="69025DD8" w14:textId="77777777" w:rsidR="00212692" w:rsidRPr="0028688D" w:rsidRDefault="00212692" w:rsidP="0028688D">
      <w:pPr>
        <w:ind w:right="-938"/>
        <w:rPr>
          <w:rFonts w:ascii="Arial" w:eastAsia="Arial" w:hAnsi="Arial" w:cs="Arial"/>
          <w:color w:val="000000"/>
          <w:szCs w:val="22"/>
          <w:bdr w:val="nil"/>
          <w:lang w:eastAsia="en-GB"/>
        </w:rPr>
      </w:pPr>
    </w:p>
    <w:p w14:paraId="289FF8C8" w14:textId="675C3CD4" w:rsidR="00212692" w:rsidRPr="0028688D" w:rsidRDefault="00212692" w:rsidP="0028688D">
      <w:pPr>
        <w:pStyle w:val="ListParagraph"/>
        <w:numPr>
          <w:ilvl w:val="0"/>
          <w:numId w:val="18"/>
        </w:numPr>
        <w:ind w:left="426" w:right="-938" w:hanging="426"/>
        <w:rPr>
          <w:rFonts w:ascii="Arial" w:eastAsia="Arial" w:hAnsi="Arial" w:cs="Arial"/>
          <w:color w:val="000000"/>
          <w:szCs w:val="22"/>
          <w:bdr w:val="nil"/>
          <w:lang w:eastAsia="en-GB"/>
        </w:rPr>
      </w:pPr>
      <w:r w:rsidRPr="0028688D">
        <w:rPr>
          <w:rFonts w:ascii="Arial" w:eastAsia="Arial" w:hAnsi="Arial" w:cs="Arial"/>
          <w:color w:val="000000"/>
          <w:szCs w:val="22"/>
          <w:bdr w:val="nil"/>
          <w:lang w:eastAsia="en-GB"/>
        </w:rPr>
        <w:t>We note that MHCLG considers the best time to introduce the central funding of appeals would be in 2021 at the time of the next revaluation</w:t>
      </w:r>
      <w:r w:rsidR="00CB5CBC" w:rsidRPr="0028688D">
        <w:rPr>
          <w:rFonts w:ascii="Arial" w:eastAsia="Arial" w:hAnsi="Arial" w:cs="Arial"/>
          <w:color w:val="000000"/>
          <w:szCs w:val="22"/>
          <w:bdr w:val="nil"/>
          <w:lang w:eastAsia="en-GB"/>
        </w:rPr>
        <w:t>, a year later than the introduction of 75 per cent retention</w:t>
      </w:r>
      <w:r w:rsidRPr="0028688D">
        <w:rPr>
          <w:rFonts w:ascii="Arial" w:eastAsia="Arial" w:hAnsi="Arial" w:cs="Arial"/>
          <w:color w:val="000000"/>
          <w:szCs w:val="22"/>
          <w:bdr w:val="nil"/>
          <w:lang w:eastAsia="en-GB"/>
        </w:rPr>
        <w:t xml:space="preserve">.  </w:t>
      </w:r>
      <w:r w:rsidR="00CB5CBC" w:rsidRPr="0028688D">
        <w:rPr>
          <w:rFonts w:ascii="Arial" w:eastAsia="Arial" w:hAnsi="Arial" w:cs="Arial"/>
          <w:color w:val="000000"/>
          <w:szCs w:val="22"/>
          <w:bdr w:val="nil"/>
          <w:lang w:eastAsia="en-GB"/>
        </w:rPr>
        <w:t xml:space="preserve">This creates a significant risk for authorities in the intervening year and the Government needs to consider how other mechanisms within the system, such as the safety net, can be used to facilitate the transition.  </w:t>
      </w:r>
    </w:p>
    <w:p w14:paraId="0B2FB33B" w14:textId="77777777" w:rsidR="00501B04" w:rsidRPr="0028688D" w:rsidRDefault="00501B04" w:rsidP="0028688D">
      <w:pPr>
        <w:ind w:right="-938"/>
        <w:rPr>
          <w:rFonts w:ascii="Arial" w:eastAsia="Arial" w:hAnsi="Arial" w:cs="Arial"/>
          <w:b/>
          <w:color w:val="000000"/>
          <w:szCs w:val="22"/>
          <w:bdr w:val="nil"/>
          <w:lang w:eastAsia="en-GB"/>
        </w:rPr>
      </w:pPr>
    </w:p>
    <w:p w14:paraId="49D962A3" w14:textId="454A22F1" w:rsidR="00AF456D" w:rsidRPr="0028688D" w:rsidRDefault="00AF456D" w:rsidP="0028688D">
      <w:pPr>
        <w:keepNext/>
        <w:ind w:right="-938"/>
        <w:rPr>
          <w:rFonts w:ascii="Arial" w:eastAsia="Arial" w:hAnsi="Arial" w:cs="Arial"/>
          <w:b/>
          <w:color w:val="000000"/>
          <w:szCs w:val="22"/>
          <w:bdr w:val="nil"/>
          <w:lang w:eastAsia="en-GB"/>
        </w:rPr>
      </w:pPr>
      <w:r w:rsidRPr="0028688D">
        <w:rPr>
          <w:rFonts w:ascii="Arial" w:eastAsia="Arial" w:hAnsi="Arial" w:cs="Arial"/>
          <w:b/>
          <w:color w:val="000000"/>
          <w:szCs w:val="22"/>
          <w:bdr w:val="nil"/>
          <w:lang w:eastAsia="en-GB"/>
        </w:rPr>
        <w:t>Complexity</w:t>
      </w:r>
    </w:p>
    <w:p w14:paraId="4FE5FDE5" w14:textId="77777777" w:rsidR="00AF456D" w:rsidRPr="0028688D" w:rsidRDefault="00AF456D" w:rsidP="0028688D">
      <w:pPr>
        <w:ind w:right="-938"/>
        <w:rPr>
          <w:rFonts w:ascii="Arial" w:eastAsia="Arial" w:hAnsi="Arial" w:cs="Arial"/>
          <w:color w:val="000000"/>
          <w:szCs w:val="22"/>
          <w:bdr w:val="nil"/>
          <w:lang w:eastAsia="en-GB"/>
        </w:rPr>
      </w:pPr>
    </w:p>
    <w:p w14:paraId="3F9C5B9A" w14:textId="1C8FA390" w:rsidR="00AF456D" w:rsidRPr="0028688D" w:rsidRDefault="000C161A" w:rsidP="0028688D">
      <w:pPr>
        <w:pStyle w:val="ListParagraph"/>
        <w:numPr>
          <w:ilvl w:val="0"/>
          <w:numId w:val="18"/>
        </w:numPr>
        <w:ind w:left="426" w:right="-938" w:hanging="426"/>
        <w:rPr>
          <w:rFonts w:ascii="Arial" w:eastAsia="Arial,Arial Unicode MS" w:hAnsi="Arial" w:cs="Arial"/>
          <w:color w:val="000000" w:themeColor="text1"/>
          <w:szCs w:val="22"/>
          <w:lang w:eastAsia="en-GB"/>
        </w:rPr>
      </w:pPr>
      <w:r w:rsidRPr="0028688D">
        <w:rPr>
          <w:rFonts w:ascii="Arial" w:eastAsia="Arial" w:hAnsi="Arial" w:cs="Arial"/>
          <w:color w:val="000000"/>
          <w:szCs w:val="22"/>
          <w:bdr w:val="nil"/>
          <w:lang w:eastAsia="en-GB"/>
        </w:rPr>
        <w:t>We recognise that</w:t>
      </w:r>
      <w:r w:rsidR="00AF456D" w:rsidRPr="0028688D">
        <w:rPr>
          <w:rFonts w:ascii="Arial" w:eastAsia="Arial" w:hAnsi="Arial" w:cs="Arial"/>
          <w:color w:val="000000"/>
          <w:szCs w:val="22"/>
          <w:bdr w:val="nil"/>
          <w:lang w:eastAsia="en-GB"/>
        </w:rPr>
        <w:t xml:space="preserve"> </w:t>
      </w:r>
      <w:r w:rsidRPr="0028688D">
        <w:rPr>
          <w:rFonts w:ascii="Arial" w:eastAsia="Arial" w:hAnsi="Arial" w:cs="Arial"/>
          <w:color w:val="000000"/>
          <w:szCs w:val="22"/>
          <w:bdr w:val="nil"/>
          <w:lang w:eastAsia="en-GB"/>
        </w:rPr>
        <w:t>r</w:t>
      </w:r>
      <w:r w:rsidR="00AF456D" w:rsidRPr="0028688D">
        <w:rPr>
          <w:rFonts w:ascii="Arial" w:eastAsia="Arial" w:hAnsi="Arial" w:cs="Arial"/>
          <w:color w:val="000000"/>
          <w:szCs w:val="22"/>
          <w:bdr w:val="nil"/>
          <w:lang w:eastAsia="en-GB"/>
        </w:rPr>
        <w:t xml:space="preserve">eforms to centralise valuation losses will potentially add complexity.  We share the aim for the system to be as straightforward as possible.  </w:t>
      </w:r>
      <w:r w:rsidRPr="0028688D">
        <w:rPr>
          <w:rFonts w:ascii="Arial" w:eastAsia="Arial" w:hAnsi="Arial" w:cs="Arial"/>
          <w:color w:val="000000"/>
          <w:szCs w:val="22"/>
          <w:bdr w:val="nil"/>
          <w:lang w:eastAsia="en-GB"/>
        </w:rPr>
        <w:t xml:space="preserve">However, it is imperative that the risk to local authorities due to appeals </w:t>
      </w:r>
      <w:r w:rsidR="00D23538" w:rsidRPr="0028688D">
        <w:rPr>
          <w:rFonts w:ascii="Arial" w:eastAsia="Arial" w:hAnsi="Arial" w:cs="Arial"/>
          <w:color w:val="000000"/>
          <w:szCs w:val="22"/>
          <w:bdr w:val="nil"/>
          <w:lang w:eastAsia="en-GB"/>
        </w:rPr>
        <w:t>is</w:t>
      </w:r>
      <w:r w:rsidRPr="0028688D">
        <w:rPr>
          <w:rFonts w:ascii="Arial" w:eastAsia="Arial" w:hAnsi="Arial" w:cs="Arial"/>
          <w:color w:val="000000"/>
          <w:szCs w:val="22"/>
          <w:bdr w:val="nil"/>
          <w:lang w:eastAsia="en-GB"/>
        </w:rPr>
        <w:t xml:space="preserve"> reduced.  T</w:t>
      </w:r>
      <w:r w:rsidR="00AF456D" w:rsidRPr="0028688D">
        <w:rPr>
          <w:rFonts w:ascii="Arial" w:eastAsia="Arial" w:hAnsi="Arial" w:cs="Arial"/>
          <w:color w:val="000000"/>
          <w:szCs w:val="22"/>
          <w:bdr w:val="nil"/>
          <w:lang w:eastAsia="en-GB"/>
        </w:rPr>
        <w:t xml:space="preserve">he current system of authorities having to make provisions which may not be </w:t>
      </w:r>
      <w:r w:rsidR="001E469C" w:rsidRPr="0028688D">
        <w:rPr>
          <w:rFonts w:ascii="Arial" w:eastAsia="Arial" w:hAnsi="Arial" w:cs="Arial"/>
          <w:color w:val="000000"/>
          <w:szCs w:val="22"/>
          <w:bdr w:val="nil"/>
          <w:lang w:eastAsia="en-GB"/>
        </w:rPr>
        <w:t>needed</w:t>
      </w:r>
      <w:r w:rsidR="00AF456D" w:rsidRPr="0028688D">
        <w:rPr>
          <w:rFonts w:ascii="Arial" w:eastAsia="Arial" w:hAnsi="Arial" w:cs="Arial"/>
          <w:color w:val="000000"/>
          <w:szCs w:val="22"/>
          <w:bdr w:val="nil"/>
          <w:lang w:eastAsia="en-GB"/>
        </w:rPr>
        <w:t xml:space="preserve"> is clearly inefficient </w:t>
      </w:r>
      <w:r w:rsidR="001E469C" w:rsidRPr="0028688D">
        <w:rPr>
          <w:rFonts w:ascii="Arial" w:eastAsia="Arial" w:hAnsi="Arial" w:cs="Arial"/>
          <w:color w:val="000000"/>
          <w:szCs w:val="22"/>
          <w:bdr w:val="nil"/>
          <w:lang w:eastAsia="en-GB"/>
        </w:rPr>
        <w:t xml:space="preserve">and </w:t>
      </w:r>
      <w:r w:rsidR="00CB5CBC" w:rsidRPr="0028688D">
        <w:rPr>
          <w:rFonts w:ascii="Arial" w:eastAsia="Arial" w:hAnsi="Arial" w:cs="Arial"/>
          <w:color w:val="000000"/>
          <w:szCs w:val="22"/>
          <w:bdr w:val="nil"/>
          <w:lang w:eastAsia="en-GB"/>
        </w:rPr>
        <w:t>lead</w:t>
      </w:r>
      <w:r w:rsidR="00D17AF2" w:rsidRPr="0028688D">
        <w:rPr>
          <w:rFonts w:ascii="Arial" w:eastAsia="Arial" w:hAnsi="Arial" w:cs="Arial"/>
          <w:color w:val="000000"/>
          <w:szCs w:val="22"/>
          <w:bdr w:val="nil"/>
          <w:lang w:eastAsia="en-GB"/>
        </w:rPr>
        <w:t>s</w:t>
      </w:r>
      <w:r w:rsidR="00CB5CBC" w:rsidRPr="0028688D">
        <w:rPr>
          <w:rFonts w:ascii="Arial" w:eastAsia="Arial" w:hAnsi="Arial" w:cs="Arial"/>
          <w:color w:val="000000"/>
          <w:szCs w:val="22"/>
          <w:bdr w:val="nil"/>
          <w:lang w:eastAsia="en-GB"/>
        </w:rPr>
        <w:t xml:space="preserve"> to</w:t>
      </w:r>
      <w:r w:rsidR="00AF456D" w:rsidRPr="0028688D">
        <w:rPr>
          <w:rFonts w:ascii="Arial" w:eastAsia="Arial" w:hAnsi="Arial" w:cs="Arial"/>
          <w:color w:val="000000"/>
          <w:szCs w:val="22"/>
          <w:bdr w:val="nil"/>
          <w:lang w:eastAsia="en-GB"/>
        </w:rPr>
        <w:t xml:space="preserve"> reductions </w:t>
      </w:r>
      <w:r w:rsidR="00CB5CBC" w:rsidRPr="0028688D">
        <w:rPr>
          <w:rFonts w:ascii="Arial" w:eastAsia="Arial" w:hAnsi="Arial" w:cs="Arial"/>
          <w:color w:val="000000"/>
          <w:szCs w:val="22"/>
          <w:bdr w:val="nil"/>
          <w:lang w:eastAsia="en-GB"/>
        </w:rPr>
        <w:t>in spend and services that would not be necessary</w:t>
      </w:r>
      <w:r w:rsidR="00D17AF2" w:rsidRPr="0028688D">
        <w:rPr>
          <w:rFonts w:ascii="Arial" w:eastAsia="Arial" w:hAnsi="Arial" w:cs="Arial"/>
          <w:color w:val="000000"/>
          <w:szCs w:val="22"/>
          <w:bdr w:val="nil"/>
          <w:lang w:eastAsia="en-GB"/>
        </w:rPr>
        <w:t xml:space="preserve"> if there were a centralised provision for appeals</w:t>
      </w:r>
      <w:r w:rsidR="00AF456D" w:rsidRPr="0028688D">
        <w:rPr>
          <w:rFonts w:ascii="Arial" w:eastAsia="Arial" w:hAnsi="Arial" w:cs="Arial"/>
          <w:color w:val="000000"/>
          <w:szCs w:val="22"/>
          <w:bdr w:val="nil"/>
          <w:lang w:eastAsia="en-GB"/>
        </w:rPr>
        <w:t>.</w:t>
      </w:r>
    </w:p>
    <w:p w14:paraId="1620C5F2" w14:textId="77777777" w:rsidR="009A6D05" w:rsidRPr="0028688D" w:rsidRDefault="009A6D05" w:rsidP="0028688D">
      <w:pPr>
        <w:ind w:left="426" w:right="-938" w:hanging="426"/>
        <w:rPr>
          <w:rFonts w:ascii="Arial" w:eastAsia="Arial Unicode MS" w:hAnsi="Arial" w:cs="Arial"/>
          <w:color w:val="000000"/>
          <w:szCs w:val="22"/>
          <w:u w:color="000000"/>
          <w:bdr w:val="nil"/>
          <w:lang w:eastAsia="en-GB"/>
        </w:rPr>
      </w:pPr>
    </w:p>
    <w:p w14:paraId="28FEE39C" w14:textId="4605F6FE" w:rsidR="002C77CD" w:rsidRPr="0028688D" w:rsidRDefault="002C77CD" w:rsidP="0028688D">
      <w:pPr>
        <w:pStyle w:val="ListParagraph"/>
        <w:numPr>
          <w:ilvl w:val="0"/>
          <w:numId w:val="18"/>
        </w:numPr>
        <w:ind w:left="426" w:right="-938" w:hanging="426"/>
        <w:rPr>
          <w:rFonts w:ascii="Arial" w:eastAsia="Arial,Arial Unicode MS" w:hAnsi="Arial" w:cs="Arial"/>
          <w:color w:val="000000" w:themeColor="text1"/>
          <w:szCs w:val="22"/>
          <w:lang w:eastAsia="en-GB"/>
        </w:rPr>
      </w:pPr>
      <w:r w:rsidRPr="0028688D">
        <w:rPr>
          <w:rFonts w:ascii="Arial" w:eastAsia="Arial" w:hAnsi="Arial" w:cs="Arial"/>
          <w:color w:val="000000"/>
          <w:szCs w:val="22"/>
          <w:bdr w:val="nil"/>
          <w:lang w:eastAsia="en-GB"/>
        </w:rPr>
        <w:t>We also welcome the involvement of CIPFA and others from the accountancy profession, noting that the proposals must work from an accounting point of view.</w:t>
      </w:r>
      <w:r w:rsidR="00AF456D" w:rsidRPr="0028688D">
        <w:rPr>
          <w:rFonts w:ascii="Arial" w:eastAsia="Arial" w:hAnsi="Arial" w:cs="Arial"/>
          <w:color w:val="000000"/>
          <w:szCs w:val="22"/>
          <w:bdr w:val="nil"/>
          <w:lang w:eastAsia="en-GB"/>
        </w:rPr>
        <w:t xml:space="preserve"> We look forward to further work.</w:t>
      </w:r>
    </w:p>
    <w:p w14:paraId="5383B119" w14:textId="5DB31ADE" w:rsidR="000161CA" w:rsidRPr="0028688D" w:rsidRDefault="000161CA" w:rsidP="0028688D">
      <w:pPr>
        <w:ind w:left="426" w:right="-938" w:hanging="426"/>
        <w:rPr>
          <w:rFonts w:ascii="Arial" w:eastAsia="Arial Unicode MS" w:hAnsi="Arial" w:cs="Arial"/>
          <w:color w:val="000000"/>
          <w:szCs w:val="22"/>
          <w:u w:color="000000"/>
          <w:bdr w:val="nil"/>
          <w:lang w:eastAsia="en-GB"/>
        </w:rPr>
      </w:pPr>
    </w:p>
    <w:p w14:paraId="7359F905" w14:textId="62FFAC2A" w:rsidR="000161CA" w:rsidRPr="0028688D" w:rsidRDefault="000161CA" w:rsidP="0028688D">
      <w:pPr>
        <w:pStyle w:val="ListParagraph"/>
        <w:numPr>
          <w:ilvl w:val="0"/>
          <w:numId w:val="18"/>
        </w:numPr>
        <w:ind w:left="426" w:right="-938" w:hanging="426"/>
        <w:rPr>
          <w:rFonts w:ascii="Arial" w:eastAsia="Arial,Arial Unicode MS" w:hAnsi="Arial" w:cs="Arial"/>
          <w:color w:val="000000" w:themeColor="text1"/>
          <w:szCs w:val="22"/>
          <w:lang w:eastAsia="en-GB"/>
        </w:rPr>
      </w:pPr>
      <w:r w:rsidRPr="0028688D">
        <w:rPr>
          <w:rFonts w:ascii="Arial" w:eastAsia="Arial" w:hAnsi="Arial" w:cs="Arial"/>
          <w:color w:val="000000"/>
          <w:szCs w:val="22"/>
          <w:bdr w:val="nil"/>
          <w:lang w:eastAsia="en-GB"/>
        </w:rPr>
        <w:t xml:space="preserve">On appeals more generally, we would support a </w:t>
      </w:r>
      <w:r w:rsidR="000C161A" w:rsidRPr="0028688D">
        <w:rPr>
          <w:rFonts w:ascii="Arial" w:eastAsia="Arial" w:hAnsi="Arial" w:cs="Arial"/>
          <w:color w:val="000000"/>
          <w:szCs w:val="22"/>
          <w:bdr w:val="nil"/>
          <w:lang w:eastAsia="en-GB"/>
        </w:rPr>
        <w:t>review of the VOA and V</w:t>
      </w:r>
      <w:r w:rsidR="00D23538" w:rsidRPr="0028688D">
        <w:rPr>
          <w:rFonts w:ascii="Arial" w:eastAsia="Arial" w:hAnsi="Arial" w:cs="Arial"/>
          <w:color w:val="000000"/>
          <w:szCs w:val="22"/>
          <w:bdr w:val="nil"/>
          <w:lang w:eastAsia="en-GB"/>
        </w:rPr>
        <w:t xml:space="preserve">aluation </w:t>
      </w:r>
      <w:r w:rsidR="000C161A" w:rsidRPr="0028688D">
        <w:rPr>
          <w:rFonts w:ascii="Arial" w:eastAsia="Arial" w:hAnsi="Arial" w:cs="Arial"/>
          <w:color w:val="000000"/>
          <w:szCs w:val="22"/>
          <w:bdr w:val="nil"/>
          <w:lang w:eastAsia="en-GB"/>
        </w:rPr>
        <w:t>T</w:t>
      </w:r>
      <w:r w:rsidR="00D23538" w:rsidRPr="0028688D">
        <w:rPr>
          <w:rFonts w:ascii="Arial" w:eastAsia="Arial" w:hAnsi="Arial" w:cs="Arial"/>
          <w:color w:val="000000"/>
          <w:szCs w:val="22"/>
          <w:bdr w:val="nil"/>
          <w:lang w:eastAsia="en-GB"/>
        </w:rPr>
        <w:t xml:space="preserve">ribunal </w:t>
      </w:r>
      <w:r w:rsidR="000C161A" w:rsidRPr="0028688D">
        <w:rPr>
          <w:rFonts w:ascii="Arial" w:eastAsia="Arial" w:hAnsi="Arial" w:cs="Arial"/>
          <w:color w:val="000000"/>
          <w:szCs w:val="22"/>
          <w:bdr w:val="nil"/>
          <w:lang w:eastAsia="en-GB"/>
        </w:rPr>
        <w:t>S</w:t>
      </w:r>
      <w:r w:rsidR="00D23538" w:rsidRPr="0028688D">
        <w:rPr>
          <w:rFonts w:ascii="Arial" w:eastAsia="Arial" w:hAnsi="Arial" w:cs="Arial"/>
          <w:color w:val="000000"/>
          <w:szCs w:val="22"/>
          <w:bdr w:val="nil"/>
          <w:lang w:eastAsia="en-GB"/>
        </w:rPr>
        <w:t>ervice</w:t>
      </w:r>
      <w:r w:rsidR="000C161A" w:rsidRPr="0028688D">
        <w:rPr>
          <w:rFonts w:ascii="Arial" w:eastAsia="Arial" w:hAnsi="Arial" w:cs="Arial"/>
          <w:color w:val="000000"/>
          <w:szCs w:val="22"/>
          <w:bdr w:val="nil"/>
          <w:lang w:eastAsia="en-GB"/>
        </w:rPr>
        <w:t xml:space="preserve"> processes to assess where the current h</w:t>
      </w:r>
      <w:r w:rsidR="0093086E" w:rsidRPr="0028688D">
        <w:rPr>
          <w:rFonts w:ascii="Arial" w:eastAsia="Arial" w:hAnsi="Arial" w:cs="Arial"/>
          <w:color w:val="000000"/>
          <w:szCs w:val="22"/>
          <w:bdr w:val="nil"/>
          <w:lang w:eastAsia="en-GB"/>
        </w:rPr>
        <w:t xml:space="preserve">old ups lie.  </w:t>
      </w:r>
      <w:r w:rsidR="00CE5FC5" w:rsidRPr="0028688D">
        <w:rPr>
          <w:rFonts w:ascii="Arial" w:eastAsia="Arial" w:hAnsi="Arial" w:cs="Arial"/>
          <w:color w:val="000000"/>
          <w:szCs w:val="22"/>
          <w:bdr w:val="nil"/>
          <w:lang w:eastAsia="en-GB"/>
        </w:rPr>
        <w:t>Any increased r</w:t>
      </w:r>
      <w:r w:rsidR="0093086E" w:rsidRPr="0028688D">
        <w:rPr>
          <w:rFonts w:ascii="Arial" w:eastAsia="Arial" w:hAnsi="Arial" w:cs="Arial"/>
          <w:color w:val="000000"/>
          <w:szCs w:val="22"/>
          <w:bdr w:val="nil"/>
          <w:lang w:eastAsia="en-GB"/>
        </w:rPr>
        <w:t>esources and</w:t>
      </w:r>
      <w:r w:rsidR="00E45EAC" w:rsidRPr="0028688D">
        <w:rPr>
          <w:rFonts w:ascii="Arial" w:eastAsia="Arial" w:hAnsi="Arial" w:cs="Arial"/>
          <w:color w:val="000000"/>
          <w:szCs w:val="22"/>
          <w:bdr w:val="nil"/>
          <w:lang w:eastAsia="en-GB"/>
        </w:rPr>
        <w:t xml:space="preserve"> </w:t>
      </w:r>
      <w:r w:rsidR="00CE5FC5" w:rsidRPr="0028688D">
        <w:rPr>
          <w:rFonts w:ascii="Arial" w:eastAsia="Arial" w:hAnsi="Arial" w:cs="Arial"/>
          <w:color w:val="000000"/>
          <w:szCs w:val="22"/>
          <w:bdr w:val="nil"/>
          <w:lang w:eastAsia="en-GB"/>
        </w:rPr>
        <w:t xml:space="preserve">appropriate </w:t>
      </w:r>
      <w:r w:rsidR="00E45EAC" w:rsidRPr="0028688D">
        <w:rPr>
          <w:rFonts w:ascii="Arial" w:eastAsia="Arial" w:hAnsi="Arial" w:cs="Arial"/>
          <w:color w:val="000000"/>
          <w:szCs w:val="22"/>
          <w:bdr w:val="nil"/>
          <w:lang w:eastAsia="en-GB"/>
        </w:rPr>
        <w:t>measures can then b</w:t>
      </w:r>
      <w:r w:rsidR="000C161A" w:rsidRPr="0028688D">
        <w:rPr>
          <w:rFonts w:ascii="Arial" w:eastAsia="Arial" w:hAnsi="Arial" w:cs="Arial"/>
          <w:color w:val="000000"/>
          <w:szCs w:val="22"/>
          <w:bdr w:val="nil"/>
          <w:lang w:eastAsia="en-GB"/>
        </w:rPr>
        <w:t xml:space="preserve">e targeted to where they are needed </w:t>
      </w:r>
      <w:r w:rsidRPr="0028688D">
        <w:rPr>
          <w:rFonts w:ascii="Arial" w:eastAsia="Arial" w:hAnsi="Arial" w:cs="Arial"/>
          <w:color w:val="000000"/>
          <w:szCs w:val="22"/>
          <w:bdr w:val="nil"/>
          <w:lang w:eastAsia="en-GB"/>
        </w:rPr>
        <w:t xml:space="preserve">to deal with the backlog of appeals before </w:t>
      </w:r>
      <w:r w:rsidR="000C161A" w:rsidRPr="0028688D">
        <w:rPr>
          <w:rFonts w:ascii="Arial" w:eastAsia="Arial" w:hAnsi="Arial" w:cs="Arial"/>
          <w:color w:val="000000"/>
          <w:szCs w:val="22"/>
          <w:bdr w:val="nil"/>
          <w:lang w:eastAsia="en-GB"/>
        </w:rPr>
        <w:t>greater business rates retention</w:t>
      </w:r>
      <w:r w:rsidRPr="0028688D">
        <w:rPr>
          <w:rFonts w:ascii="Arial" w:eastAsia="Arial" w:hAnsi="Arial" w:cs="Arial"/>
          <w:color w:val="000000"/>
          <w:szCs w:val="22"/>
          <w:bdr w:val="nil"/>
          <w:lang w:eastAsia="en-GB"/>
        </w:rPr>
        <w:t xml:space="preserve"> is introduced. This should be subject to a performance and accountability framework.</w:t>
      </w:r>
    </w:p>
    <w:p w14:paraId="37088C4E" w14:textId="77777777" w:rsidR="009A6D05" w:rsidRPr="009A6D05" w:rsidRDefault="009A6D05" w:rsidP="0028688D">
      <w:pPr>
        <w:ind w:right="-938"/>
        <w:rPr>
          <w:rFonts w:ascii="Arial" w:eastAsia="Arial Unicode MS" w:hAnsi="Arial" w:cs="Arial"/>
          <w:color w:val="000000"/>
          <w:sz w:val="24"/>
          <w:szCs w:val="24"/>
          <w:u w:color="000000"/>
          <w:bdr w:val="nil"/>
          <w:lang w:eastAsia="en-GB"/>
        </w:rPr>
      </w:pPr>
    </w:p>
    <w:sectPr w:rsidR="009A6D05" w:rsidRPr="009A6D05">
      <w:headerReference w:type="default" r:id="rId13"/>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5D9D9" w14:textId="77777777" w:rsidR="00BA3B44" w:rsidRDefault="00BA3B44">
      <w:r>
        <w:separator/>
      </w:r>
    </w:p>
  </w:endnote>
  <w:endnote w:type="continuationSeparator" w:id="0">
    <w:p w14:paraId="5B6865AD" w14:textId="77777777" w:rsidR="00BA3B44" w:rsidRDefault="00BA3B44">
      <w:r>
        <w:continuationSeparator/>
      </w:r>
    </w:p>
  </w:endnote>
  <w:endnote w:type="continuationNotice" w:id="1">
    <w:p w14:paraId="70EC35C6" w14:textId="77777777" w:rsidR="00BA3B44" w:rsidRDefault="00BA3B4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45 Light">
    <w:altName w:val="Arial Narrow"/>
    <w:charset w:val="00"/>
    <w:family w:val="swiss"/>
    <w:pitch w:val="variable"/>
    <w:sig w:usb0="8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LGA Logos">
    <w:charset w:val="00"/>
    <w:family w:val="auto"/>
    <w:pitch w:val="variable"/>
    <w:sig w:usb0="00000003" w:usb1="00000000" w:usb2="00000000" w:usb3="00000000" w:csb0="00000001" w:csb1="00000000"/>
    <w:embedRegular r:id="rId1" w:fontKey="{5521CCCF-1AB5-4DC9-9AA0-8AACB51118FC}"/>
  </w:font>
  <w:font w:name="Tahoma">
    <w:panose1 w:val="020B0604030504040204"/>
    <w:charset w:val="00"/>
    <w:family w:val="swiss"/>
    <w:pitch w:val="variable"/>
    <w:sig w:usb0="E1002EFF" w:usb1="C000605B" w:usb2="00000029" w:usb3="00000000" w:csb0="000101FF" w:csb1="00000000"/>
    <w:embedRegular r:id="rId2" w:fontKey="{8427C508-7359-40F4-9FF3-FBC8719A9145}"/>
  </w:font>
  <w:font w:name="Calibri">
    <w:panose1 w:val="020F0502020204030204"/>
    <w:charset w:val="00"/>
    <w:family w:val="swiss"/>
    <w:pitch w:val="variable"/>
    <w:sig w:usb0="E00002FF" w:usb1="4000ACFF" w:usb2="00000001" w:usb3="00000000" w:csb0="0000019F" w:csb1="00000000"/>
    <w:embedRegular r:id="rId3" w:fontKey="{D6FB4BEA-AC3E-49D6-8F0E-4634CE6043D0}"/>
  </w:font>
  <w:font w:name="Arial,Arial Unicode MS">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9505D1E7-0433-4F42-8039-015E810835F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43853" w14:textId="77777777" w:rsidR="00BA3B44" w:rsidRDefault="00BA3B44">
      <w:r>
        <w:separator/>
      </w:r>
    </w:p>
  </w:footnote>
  <w:footnote w:type="continuationSeparator" w:id="0">
    <w:p w14:paraId="75323FFB" w14:textId="77777777" w:rsidR="00BA3B44" w:rsidRDefault="00BA3B44">
      <w:r>
        <w:continuationSeparator/>
      </w:r>
    </w:p>
  </w:footnote>
  <w:footnote w:type="continuationNotice" w:id="1">
    <w:p w14:paraId="1A3F7045" w14:textId="77777777" w:rsidR="00BA3B44" w:rsidRDefault="00BA3B44">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41211" w14:textId="77777777" w:rsidR="0028688D" w:rsidRDefault="0028688D"/>
  <w:tbl>
    <w:tblPr>
      <w:tblW w:w="9071" w:type="dxa"/>
      <w:tblLook w:val="01E0" w:firstRow="1" w:lastRow="1" w:firstColumn="1" w:lastColumn="1" w:noHBand="0" w:noVBand="0"/>
    </w:tblPr>
    <w:tblGrid>
      <w:gridCol w:w="5850"/>
      <w:gridCol w:w="3221"/>
    </w:tblGrid>
    <w:tr w:rsidR="0028688D" w:rsidRPr="004F266E" w14:paraId="6C4682D3" w14:textId="77777777" w:rsidTr="0028688D">
      <w:tc>
        <w:tcPr>
          <w:tcW w:w="5850" w:type="dxa"/>
          <w:vMerge w:val="restart"/>
          <w:shd w:val="clear" w:color="auto" w:fill="auto"/>
        </w:tcPr>
        <w:p w14:paraId="58C5429C" w14:textId="4FA1118A" w:rsidR="0028688D" w:rsidRPr="00374227" w:rsidRDefault="0028688D" w:rsidP="0028688D">
          <w:pPr>
            <w:pStyle w:val="Header"/>
            <w:tabs>
              <w:tab w:val="clear" w:pos="4153"/>
              <w:tab w:val="clear" w:pos="8306"/>
              <w:tab w:val="center" w:pos="2923"/>
            </w:tabs>
          </w:pPr>
          <w:r>
            <w:rPr>
              <w:noProof/>
            </w:rPr>
            <w:drawing>
              <wp:anchor distT="0" distB="0" distL="114300" distR="114300" simplePos="0" relativeHeight="251659265" behindDoc="0" locked="0" layoutInCell="1" allowOverlap="1" wp14:anchorId="11DB3834" wp14:editId="694E7193">
                <wp:simplePos x="0" y="0"/>
                <wp:positionH relativeFrom="column">
                  <wp:posOffset>-62230</wp:posOffset>
                </wp:positionH>
                <wp:positionV relativeFrom="paragraph">
                  <wp:posOffset>38735</wp:posOffset>
                </wp:positionV>
                <wp:extent cx="1428750" cy="847725"/>
                <wp:effectExtent l="0" t="0" r="0" b="9525"/>
                <wp:wrapNone/>
                <wp:docPr id="16" name="picture"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847725"/>
                        </a:xfrm>
                        <a:prstGeom prst="rect">
                          <a:avLst/>
                        </a:prstGeom>
                      </pic:spPr>
                    </pic:pic>
                  </a:graphicData>
                </a:graphic>
              </wp:anchor>
            </w:drawing>
          </w:r>
        </w:p>
      </w:tc>
      <w:tc>
        <w:tcPr>
          <w:tcW w:w="3221" w:type="dxa"/>
          <w:shd w:val="clear" w:color="auto" w:fill="auto"/>
          <w:vAlign w:val="center"/>
        </w:tcPr>
        <w:p w14:paraId="2299405A" w14:textId="77777777" w:rsidR="0028688D" w:rsidRPr="00E7702B" w:rsidRDefault="0028688D" w:rsidP="0028688D">
          <w:pPr>
            <w:pStyle w:val="Header"/>
            <w:rPr>
              <w:rFonts w:ascii="Arial" w:hAnsi="Arial" w:cs="Arial"/>
              <w:b/>
              <w:bCs/>
              <w:i/>
              <w:iCs/>
            </w:rPr>
          </w:pPr>
          <w:r>
            <w:rPr>
              <w:rFonts w:ascii="Arial" w:hAnsi="Arial" w:cs="Arial"/>
              <w:b/>
              <w:bCs/>
            </w:rPr>
            <w:t>Resources Board</w:t>
          </w:r>
          <w:r w:rsidRPr="0B50786C">
            <w:rPr>
              <w:rFonts w:ascii="Arial" w:hAnsi="Arial" w:cs="Arial"/>
              <w:i/>
              <w:iCs/>
            </w:rPr>
            <w:t xml:space="preserve"> </w:t>
          </w:r>
        </w:p>
      </w:tc>
    </w:tr>
    <w:tr w:rsidR="0028688D" w14:paraId="34B0AED2" w14:textId="77777777" w:rsidTr="0028688D">
      <w:trPr>
        <w:trHeight w:val="450"/>
      </w:trPr>
      <w:tc>
        <w:tcPr>
          <w:tcW w:w="5850" w:type="dxa"/>
          <w:vMerge/>
          <w:shd w:val="clear" w:color="auto" w:fill="auto"/>
        </w:tcPr>
        <w:p w14:paraId="6815D974" w14:textId="77777777" w:rsidR="0028688D" w:rsidRPr="00374227" w:rsidRDefault="0028688D" w:rsidP="0028688D">
          <w:pPr>
            <w:pStyle w:val="Header"/>
          </w:pPr>
        </w:p>
      </w:tc>
      <w:tc>
        <w:tcPr>
          <w:tcW w:w="3221" w:type="dxa"/>
          <w:shd w:val="clear" w:color="auto" w:fill="auto"/>
          <w:vAlign w:val="center"/>
        </w:tcPr>
        <w:p w14:paraId="29441A46" w14:textId="77777777" w:rsidR="0028688D" w:rsidRPr="00374227" w:rsidRDefault="0028688D" w:rsidP="0028688D">
          <w:pPr>
            <w:pStyle w:val="Header"/>
            <w:spacing w:before="60"/>
            <w:rPr>
              <w:rFonts w:ascii="Arial" w:hAnsi="Arial" w:cs="Arial"/>
            </w:rPr>
          </w:pPr>
          <w:r>
            <w:rPr>
              <w:rFonts w:ascii="Arial" w:hAnsi="Arial" w:cs="Arial"/>
            </w:rPr>
            <w:t>28 June</w:t>
          </w:r>
          <w:r w:rsidRPr="0B50786C">
            <w:rPr>
              <w:rFonts w:ascii="Arial" w:hAnsi="Arial" w:cs="Arial"/>
            </w:rPr>
            <w:t xml:space="preserve"> 2018 </w:t>
          </w:r>
        </w:p>
      </w:tc>
    </w:tr>
    <w:tr w:rsidR="0028688D" w:rsidRPr="004F266E" w14:paraId="0E837A60" w14:textId="77777777" w:rsidTr="0028688D">
      <w:trPr>
        <w:trHeight w:val="708"/>
      </w:trPr>
      <w:tc>
        <w:tcPr>
          <w:tcW w:w="5850" w:type="dxa"/>
          <w:vMerge/>
          <w:shd w:val="clear" w:color="auto" w:fill="auto"/>
        </w:tcPr>
        <w:p w14:paraId="792F7B63" w14:textId="77777777" w:rsidR="0028688D" w:rsidRPr="00374227" w:rsidRDefault="0028688D" w:rsidP="0028688D">
          <w:pPr>
            <w:pStyle w:val="Header"/>
          </w:pPr>
        </w:p>
      </w:tc>
      <w:tc>
        <w:tcPr>
          <w:tcW w:w="3221" w:type="dxa"/>
          <w:shd w:val="clear" w:color="auto" w:fill="auto"/>
          <w:vAlign w:val="center"/>
        </w:tcPr>
        <w:p w14:paraId="2D9D81A6" w14:textId="77777777" w:rsidR="0028688D" w:rsidRPr="00374227" w:rsidRDefault="0028688D" w:rsidP="0028688D">
          <w:pPr>
            <w:pStyle w:val="Header"/>
            <w:spacing w:before="60"/>
            <w:rPr>
              <w:rFonts w:ascii="Arial" w:hAnsi="Arial" w:cs="Arial"/>
              <w:b/>
              <w:bCs/>
            </w:rPr>
          </w:pPr>
        </w:p>
      </w:tc>
    </w:tr>
  </w:tbl>
  <w:p w14:paraId="64FA69C6" w14:textId="4A202E67" w:rsidR="0028688D" w:rsidRPr="0021114E" w:rsidRDefault="0028688D" w:rsidP="0028688D">
    <w:pPr>
      <w:pStyle w:val="Header"/>
      <w:rPr>
        <w:rFonts w:ascii="Arial" w:hAnsi="Arial" w:cs="Arial"/>
      </w:rPr>
    </w:pPr>
  </w:p>
  <w:p w14:paraId="38D60EE2" w14:textId="0848A996" w:rsidR="00BA3B44" w:rsidRDefault="00BA3B44">
    <w:pPr>
      <w:pStyle w:val="Header"/>
    </w:pPr>
    <w:r>
      <w:rPr>
        <w:noProof/>
        <w:lang w:eastAsia="en-GB"/>
      </w:rPr>
      <mc:AlternateContent>
        <mc:Choice Requires="wps">
          <w:drawing>
            <wp:anchor distT="0" distB="0" distL="114300" distR="114300" simplePos="0" relativeHeight="251658240" behindDoc="0" locked="0" layoutInCell="0" allowOverlap="1" wp14:anchorId="38D60EEC" wp14:editId="38D60EED">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0EEE" w14:textId="06A0B82E" w:rsidR="00BA3B44" w:rsidRDefault="00BA3B44" w:rsidP="00B54126">
                          <w:pPr>
                            <w:pStyle w:val="Logo"/>
                            <w:jc w:val="cente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D60EEC"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38D60EEE" w14:textId="06A0B82E" w:rsidR="00BA3B44" w:rsidRDefault="00BA3B44" w:rsidP="00B54126">
                    <w:pPr>
                      <w:pStyle w:val="Logo"/>
                      <w:jc w:val="cente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60EE7" w14:textId="77777777" w:rsidR="00BA3B44" w:rsidRDefault="00BA3B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2C3F45"/>
    <w:multiLevelType w:val="hybridMultilevel"/>
    <w:tmpl w:val="AEEC25DA"/>
    <w:lvl w:ilvl="0" w:tplc="7C483DC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C094273"/>
    <w:multiLevelType w:val="multilevel"/>
    <w:tmpl w:val="2B82923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7"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3"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7FF3A8F"/>
    <w:multiLevelType w:val="hybridMultilevel"/>
    <w:tmpl w:val="928ED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13"/>
  </w:num>
  <w:num w:numId="4">
    <w:abstractNumId w:val="7"/>
  </w:num>
  <w:num w:numId="5">
    <w:abstractNumId w:val="3"/>
  </w:num>
  <w:num w:numId="6">
    <w:abstractNumId w:val="6"/>
  </w:num>
  <w:num w:numId="7">
    <w:abstractNumId w:val="1"/>
  </w:num>
  <w:num w:numId="8">
    <w:abstractNumId w:val="15"/>
  </w:num>
  <w:num w:numId="9">
    <w:abstractNumId w:val="17"/>
  </w:num>
  <w:num w:numId="10">
    <w:abstractNumId w:val="10"/>
  </w:num>
  <w:num w:numId="11">
    <w:abstractNumId w:val="14"/>
  </w:num>
  <w:num w:numId="12">
    <w:abstractNumId w:val="9"/>
  </w:num>
  <w:num w:numId="13">
    <w:abstractNumId w:val="8"/>
  </w:num>
  <w:num w:numId="14">
    <w:abstractNumId w:val="4"/>
  </w:num>
  <w:num w:numId="15">
    <w:abstractNumId w:val="11"/>
  </w:num>
  <w:num w:numId="16">
    <w:abstractNumId w:val="5"/>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00BB"/>
    <w:rsid w:val="000106EA"/>
    <w:rsid w:val="000161CA"/>
    <w:rsid w:val="00022A97"/>
    <w:rsid w:val="00022C97"/>
    <w:rsid w:val="00054754"/>
    <w:rsid w:val="000627D3"/>
    <w:rsid w:val="00063B87"/>
    <w:rsid w:val="00067A98"/>
    <w:rsid w:val="00072748"/>
    <w:rsid w:val="00075CA8"/>
    <w:rsid w:val="00091601"/>
    <w:rsid w:val="000B7421"/>
    <w:rsid w:val="000C161A"/>
    <w:rsid w:val="000C23DF"/>
    <w:rsid w:val="000C4E67"/>
    <w:rsid w:val="000C5404"/>
    <w:rsid w:val="000D5A5B"/>
    <w:rsid w:val="000D6226"/>
    <w:rsid w:val="000D7362"/>
    <w:rsid w:val="000D799F"/>
    <w:rsid w:val="00104307"/>
    <w:rsid w:val="001060AC"/>
    <w:rsid w:val="001168A0"/>
    <w:rsid w:val="0012747B"/>
    <w:rsid w:val="00132FB4"/>
    <w:rsid w:val="001425DB"/>
    <w:rsid w:val="00145E8C"/>
    <w:rsid w:val="0014785D"/>
    <w:rsid w:val="00150FC0"/>
    <w:rsid w:val="00153A18"/>
    <w:rsid w:val="0015546A"/>
    <w:rsid w:val="001659D7"/>
    <w:rsid w:val="001A3138"/>
    <w:rsid w:val="001C33B4"/>
    <w:rsid w:val="001C402F"/>
    <w:rsid w:val="001E43F7"/>
    <w:rsid w:val="001E469C"/>
    <w:rsid w:val="001F658D"/>
    <w:rsid w:val="00211A01"/>
    <w:rsid w:val="00212692"/>
    <w:rsid w:val="00222979"/>
    <w:rsid w:val="00225477"/>
    <w:rsid w:val="00236008"/>
    <w:rsid w:val="00243071"/>
    <w:rsid w:val="00243B51"/>
    <w:rsid w:val="0024506A"/>
    <w:rsid w:val="00245189"/>
    <w:rsid w:val="00253890"/>
    <w:rsid w:val="00255FA8"/>
    <w:rsid w:val="0026722D"/>
    <w:rsid w:val="002714F1"/>
    <w:rsid w:val="00275E52"/>
    <w:rsid w:val="0028166B"/>
    <w:rsid w:val="0028688D"/>
    <w:rsid w:val="00293846"/>
    <w:rsid w:val="002943B8"/>
    <w:rsid w:val="002A2508"/>
    <w:rsid w:val="002B7E8C"/>
    <w:rsid w:val="002C77CD"/>
    <w:rsid w:val="002E0171"/>
    <w:rsid w:val="002F7E7F"/>
    <w:rsid w:val="0030606C"/>
    <w:rsid w:val="00306D21"/>
    <w:rsid w:val="00312E60"/>
    <w:rsid w:val="00313465"/>
    <w:rsid w:val="003264FA"/>
    <w:rsid w:val="0033233B"/>
    <w:rsid w:val="00356755"/>
    <w:rsid w:val="003611CA"/>
    <w:rsid w:val="003714C0"/>
    <w:rsid w:val="003873C7"/>
    <w:rsid w:val="003B78C7"/>
    <w:rsid w:val="003D0BBB"/>
    <w:rsid w:val="003D3384"/>
    <w:rsid w:val="003D3CC4"/>
    <w:rsid w:val="003D4EE8"/>
    <w:rsid w:val="003E26A3"/>
    <w:rsid w:val="003E4065"/>
    <w:rsid w:val="00400698"/>
    <w:rsid w:val="00400C98"/>
    <w:rsid w:val="00412CD6"/>
    <w:rsid w:val="00437589"/>
    <w:rsid w:val="00442E7E"/>
    <w:rsid w:val="0045685B"/>
    <w:rsid w:val="00457E0D"/>
    <w:rsid w:val="004642C0"/>
    <w:rsid w:val="0047388F"/>
    <w:rsid w:val="004943FB"/>
    <w:rsid w:val="004A3761"/>
    <w:rsid w:val="004A7121"/>
    <w:rsid w:val="004B3D71"/>
    <w:rsid w:val="004C07C0"/>
    <w:rsid w:val="004C5EC9"/>
    <w:rsid w:val="004C7C77"/>
    <w:rsid w:val="004D36CF"/>
    <w:rsid w:val="004D695B"/>
    <w:rsid w:val="004E6E18"/>
    <w:rsid w:val="004F371E"/>
    <w:rsid w:val="004F7F39"/>
    <w:rsid w:val="00501B04"/>
    <w:rsid w:val="00502886"/>
    <w:rsid w:val="00505674"/>
    <w:rsid w:val="005065EA"/>
    <w:rsid w:val="005159C1"/>
    <w:rsid w:val="00525BAE"/>
    <w:rsid w:val="00525E20"/>
    <w:rsid w:val="00531FA0"/>
    <w:rsid w:val="00556A3F"/>
    <w:rsid w:val="00572880"/>
    <w:rsid w:val="00573F10"/>
    <w:rsid w:val="00586484"/>
    <w:rsid w:val="005A5E8E"/>
    <w:rsid w:val="005C53AC"/>
    <w:rsid w:val="005D7E91"/>
    <w:rsid w:val="005E26E2"/>
    <w:rsid w:val="005F4718"/>
    <w:rsid w:val="005F650E"/>
    <w:rsid w:val="00610585"/>
    <w:rsid w:val="00615AFF"/>
    <w:rsid w:val="00616594"/>
    <w:rsid w:val="00640866"/>
    <w:rsid w:val="00646351"/>
    <w:rsid w:val="00655689"/>
    <w:rsid w:val="00662546"/>
    <w:rsid w:val="00681DC6"/>
    <w:rsid w:val="00690D4C"/>
    <w:rsid w:val="00691248"/>
    <w:rsid w:val="0069529C"/>
    <w:rsid w:val="006B7A24"/>
    <w:rsid w:val="006C19C1"/>
    <w:rsid w:val="006D3B8A"/>
    <w:rsid w:val="006D71C7"/>
    <w:rsid w:val="006D76C0"/>
    <w:rsid w:val="006E1462"/>
    <w:rsid w:val="006E2886"/>
    <w:rsid w:val="006E552E"/>
    <w:rsid w:val="006F0F3A"/>
    <w:rsid w:val="006F4A27"/>
    <w:rsid w:val="00712E1A"/>
    <w:rsid w:val="00713AF0"/>
    <w:rsid w:val="0073387D"/>
    <w:rsid w:val="007340F7"/>
    <w:rsid w:val="007426D1"/>
    <w:rsid w:val="007451C0"/>
    <w:rsid w:val="007601CB"/>
    <w:rsid w:val="007626E3"/>
    <w:rsid w:val="00776435"/>
    <w:rsid w:val="0077CCC3"/>
    <w:rsid w:val="00790E15"/>
    <w:rsid w:val="00793ADA"/>
    <w:rsid w:val="007A0737"/>
    <w:rsid w:val="007A429E"/>
    <w:rsid w:val="007B3264"/>
    <w:rsid w:val="007C0C32"/>
    <w:rsid w:val="007C59BD"/>
    <w:rsid w:val="007C72E2"/>
    <w:rsid w:val="007D066E"/>
    <w:rsid w:val="007D359C"/>
    <w:rsid w:val="007E6D97"/>
    <w:rsid w:val="007F6C41"/>
    <w:rsid w:val="007F789F"/>
    <w:rsid w:val="00804723"/>
    <w:rsid w:val="0081091E"/>
    <w:rsid w:val="00813357"/>
    <w:rsid w:val="00821904"/>
    <w:rsid w:val="00822DF9"/>
    <w:rsid w:val="0082732A"/>
    <w:rsid w:val="00834ADF"/>
    <w:rsid w:val="00854913"/>
    <w:rsid w:val="00890596"/>
    <w:rsid w:val="008A62D7"/>
    <w:rsid w:val="008B45EF"/>
    <w:rsid w:val="008C599D"/>
    <w:rsid w:val="008D1520"/>
    <w:rsid w:val="008D2FFA"/>
    <w:rsid w:val="008E261B"/>
    <w:rsid w:val="008F7959"/>
    <w:rsid w:val="0090468F"/>
    <w:rsid w:val="00906791"/>
    <w:rsid w:val="009120EB"/>
    <w:rsid w:val="00922345"/>
    <w:rsid w:val="00922866"/>
    <w:rsid w:val="0093086E"/>
    <w:rsid w:val="0093283C"/>
    <w:rsid w:val="009620E6"/>
    <w:rsid w:val="00972A19"/>
    <w:rsid w:val="00976022"/>
    <w:rsid w:val="00985BB8"/>
    <w:rsid w:val="009A3C11"/>
    <w:rsid w:val="009A6D05"/>
    <w:rsid w:val="009B285E"/>
    <w:rsid w:val="009B6691"/>
    <w:rsid w:val="009E2216"/>
    <w:rsid w:val="009F012F"/>
    <w:rsid w:val="009F16AE"/>
    <w:rsid w:val="00A135F8"/>
    <w:rsid w:val="00A20A48"/>
    <w:rsid w:val="00A215A2"/>
    <w:rsid w:val="00A27A39"/>
    <w:rsid w:val="00A30546"/>
    <w:rsid w:val="00A70A19"/>
    <w:rsid w:val="00A83036"/>
    <w:rsid w:val="00A90090"/>
    <w:rsid w:val="00AA56CF"/>
    <w:rsid w:val="00AB7551"/>
    <w:rsid w:val="00AC172F"/>
    <w:rsid w:val="00AC1DAA"/>
    <w:rsid w:val="00AD1CB5"/>
    <w:rsid w:val="00AE4CC0"/>
    <w:rsid w:val="00AE66B2"/>
    <w:rsid w:val="00AF456D"/>
    <w:rsid w:val="00B03EF4"/>
    <w:rsid w:val="00B10B98"/>
    <w:rsid w:val="00B13A1F"/>
    <w:rsid w:val="00B22A52"/>
    <w:rsid w:val="00B333EF"/>
    <w:rsid w:val="00B34105"/>
    <w:rsid w:val="00B42F87"/>
    <w:rsid w:val="00B43FAB"/>
    <w:rsid w:val="00B4614E"/>
    <w:rsid w:val="00B54126"/>
    <w:rsid w:val="00B6001A"/>
    <w:rsid w:val="00B641C5"/>
    <w:rsid w:val="00B80DF4"/>
    <w:rsid w:val="00BA3B44"/>
    <w:rsid w:val="00BB775A"/>
    <w:rsid w:val="00BD06C4"/>
    <w:rsid w:val="00BD3F55"/>
    <w:rsid w:val="00BD6209"/>
    <w:rsid w:val="00BF265D"/>
    <w:rsid w:val="00C04576"/>
    <w:rsid w:val="00C252DD"/>
    <w:rsid w:val="00C37F50"/>
    <w:rsid w:val="00C416F5"/>
    <w:rsid w:val="00C41BED"/>
    <w:rsid w:val="00C441B6"/>
    <w:rsid w:val="00C63075"/>
    <w:rsid w:val="00C82C8F"/>
    <w:rsid w:val="00C9479A"/>
    <w:rsid w:val="00C97EF8"/>
    <w:rsid w:val="00CB21EC"/>
    <w:rsid w:val="00CB5CBC"/>
    <w:rsid w:val="00CB74EB"/>
    <w:rsid w:val="00CB7A96"/>
    <w:rsid w:val="00CD1310"/>
    <w:rsid w:val="00CD2601"/>
    <w:rsid w:val="00CD65D1"/>
    <w:rsid w:val="00CE5FC5"/>
    <w:rsid w:val="00D05080"/>
    <w:rsid w:val="00D062C7"/>
    <w:rsid w:val="00D10025"/>
    <w:rsid w:val="00D17AF2"/>
    <w:rsid w:val="00D23538"/>
    <w:rsid w:val="00D400B2"/>
    <w:rsid w:val="00D64472"/>
    <w:rsid w:val="00D73BE4"/>
    <w:rsid w:val="00D82ADB"/>
    <w:rsid w:val="00D907D9"/>
    <w:rsid w:val="00D95CDD"/>
    <w:rsid w:val="00D9628D"/>
    <w:rsid w:val="00D9724A"/>
    <w:rsid w:val="00DA4F61"/>
    <w:rsid w:val="00DB3A1B"/>
    <w:rsid w:val="00DC3BEE"/>
    <w:rsid w:val="00DD4B3B"/>
    <w:rsid w:val="00DE1938"/>
    <w:rsid w:val="00DE7017"/>
    <w:rsid w:val="00DF1630"/>
    <w:rsid w:val="00DF33E4"/>
    <w:rsid w:val="00DF38D5"/>
    <w:rsid w:val="00E01A58"/>
    <w:rsid w:val="00E06CED"/>
    <w:rsid w:val="00E160CE"/>
    <w:rsid w:val="00E27A23"/>
    <w:rsid w:val="00E30B3C"/>
    <w:rsid w:val="00E4528B"/>
    <w:rsid w:val="00E45EAC"/>
    <w:rsid w:val="00E51B9F"/>
    <w:rsid w:val="00E546A6"/>
    <w:rsid w:val="00E56E72"/>
    <w:rsid w:val="00E65E3C"/>
    <w:rsid w:val="00E6622B"/>
    <w:rsid w:val="00E66D66"/>
    <w:rsid w:val="00E70E5A"/>
    <w:rsid w:val="00E73F82"/>
    <w:rsid w:val="00E819E1"/>
    <w:rsid w:val="00E81A6A"/>
    <w:rsid w:val="00E86031"/>
    <w:rsid w:val="00E86E98"/>
    <w:rsid w:val="00E905D9"/>
    <w:rsid w:val="00E923DC"/>
    <w:rsid w:val="00EB1ACD"/>
    <w:rsid w:val="00ED3F93"/>
    <w:rsid w:val="00EE6836"/>
    <w:rsid w:val="00F00F64"/>
    <w:rsid w:val="00F04BC4"/>
    <w:rsid w:val="00F21043"/>
    <w:rsid w:val="00F21B3B"/>
    <w:rsid w:val="00F222D5"/>
    <w:rsid w:val="00F26DF1"/>
    <w:rsid w:val="00F30DC2"/>
    <w:rsid w:val="00F56D4A"/>
    <w:rsid w:val="00F61C6D"/>
    <w:rsid w:val="00F703A2"/>
    <w:rsid w:val="00F72158"/>
    <w:rsid w:val="00F72AFE"/>
    <w:rsid w:val="00FA34AD"/>
    <w:rsid w:val="00FB444F"/>
    <w:rsid w:val="00FC38B5"/>
    <w:rsid w:val="00FC3C6E"/>
    <w:rsid w:val="00FC714E"/>
    <w:rsid w:val="00FD4F82"/>
    <w:rsid w:val="00FD7324"/>
    <w:rsid w:val="00FE0C0A"/>
    <w:rsid w:val="00FE3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character" w:customStyle="1" w:styleId="HeaderChar">
    <w:name w:val="Header Char"/>
    <w:basedOn w:val="DefaultParagraphFont"/>
    <w:link w:val="Header"/>
    <w:rsid w:val="00F26DF1"/>
    <w:rPr>
      <w:rFonts w:ascii="Frutiger 45 Light" w:hAnsi="Frutiger 45 Light"/>
      <w:sz w:val="22"/>
      <w:lang w:eastAsia="en-US"/>
    </w:rPr>
  </w:style>
  <w:style w:type="character" w:customStyle="1" w:styleId="FooterChar">
    <w:name w:val="Footer Char"/>
    <w:basedOn w:val="DefaultParagraphFont"/>
    <w:link w:val="Footer"/>
    <w:uiPriority w:val="99"/>
    <w:rsid w:val="00F26DF1"/>
    <w:rPr>
      <w:rFonts w:ascii="Frutiger 45 Light" w:hAnsi="Frutiger 45 Light"/>
      <w:sz w:val="22"/>
      <w:lang w:eastAsia="en-US"/>
    </w:rPr>
  </w:style>
  <w:style w:type="character" w:styleId="CommentReference">
    <w:name w:val="annotation reference"/>
    <w:basedOn w:val="DefaultParagraphFont"/>
    <w:semiHidden/>
    <w:unhideWhenUsed/>
    <w:rsid w:val="00ED3F93"/>
    <w:rPr>
      <w:sz w:val="16"/>
      <w:szCs w:val="16"/>
    </w:rPr>
  </w:style>
  <w:style w:type="paragraph" w:styleId="CommentText">
    <w:name w:val="annotation text"/>
    <w:basedOn w:val="Normal"/>
    <w:link w:val="CommentTextChar"/>
    <w:semiHidden/>
    <w:unhideWhenUsed/>
    <w:rsid w:val="00ED3F93"/>
    <w:pPr>
      <w:spacing w:line="240" w:lineRule="auto"/>
    </w:pPr>
    <w:rPr>
      <w:sz w:val="20"/>
    </w:rPr>
  </w:style>
  <w:style w:type="character" w:customStyle="1" w:styleId="CommentTextChar">
    <w:name w:val="Comment Text Char"/>
    <w:basedOn w:val="DefaultParagraphFont"/>
    <w:link w:val="CommentText"/>
    <w:semiHidden/>
    <w:rsid w:val="00ED3F93"/>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ED3F93"/>
    <w:rPr>
      <w:b/>
      <w:bCs/>
    </w:rPr>
  </w:style>
  <w:style w:type="character" w:customStyle="1" w:styleId="CommentSubjectChar">
    <w:name w:val="Comment Subject Char"/>
    <w:basedOn w:val="CommentTextChar"/>
    <w:link w:val="CommentSubject"/>
    <w:semiHidden/>
    <w:rsid w:val="00ED3F93"/>
    <w:rPr>
      <w:rFonts w:ascii="Frutiger 45 Light" w:hAnsi="Frutiger 45 Light"/>
      <w:b/>
      <w:bCs/>
      <w:lang w:eastAsia="en-US"/>
    </w:rPr>
  </w:style>
  <w:style w:type="paragraph" w:customStyle="1" w:styleId="Default">
    <w:name w:val="Default"/>
    <w:rsid w:val="009620E6"/>
    <w:pPr>
      <w:autoSpaceDE w:val="0"/>
      <w:autoSpaceDN w:val="0"/>
      <w:adjustRightInd w:val="0"/>
    </w:pPr>
    <w:rPr>
      <w:rFonts w:ascii="Arial" w:hAnsi="Arial" w:cs="Arial"/>
      <w:color w:val="000000"/>
      <w:sz w:val="24"/>
      <w:szCs w:val="24"/>
    </w:rPr>
  </w:style>
  <w:style w:type="paragraph" w:customStyle="1" w:styleId="gmail-western">
    <w:name w:val="gmail-western"/>
    <w:basedOn w:val="Normal"/>
    <w:rsid w:val="007B3264"/>
    <w:pPr>
      <w:widowControl/>
      <w:spacing w:before="100" w:beforeAutospacing="1" w:after="100" w:afterAutospacing="1" w:line="240" w:lineRule="auto"/>
    </w:pPr>
    <w:rPr>
      <w:rFonts w:ascii="Times New Roman" w:eastAsia="Calibri" w:hAnsi="Times New Roman"/>
      <w:sz w:val="24"/>
      <w:szCs w:val="24"/>
      <w:lang w:eastAsia="en-GB"/>
    </w:rPr>
  </w:style>
  <w:style w:type="paragraph" w:styleId="ListParagraph">
    <w:name w:val="List Paragraph"/>
    <w:basedOn w:val="Normal"/>
    <w:uiPriority w:val="34"/>
    <w:qFormat/>
    <w:rsid w:val="00D062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03572">
      <w:bodyDiv w:val="1"/>
      <w:marLeft w:val="0"/>
      <w:marRight w:val="0"/>
      <w:marTop w:val="0"/>
      <w:marBottom w:val="0"/>
      <w:divBdr>
        <w:top w:val="none" w:sz="0" w:space="0" w:color="auto"/>
        <w:left w:val="none" w:sz="0" w:space="0" w:color="auto"/>
        <w:bottom w:val="none" w:sz="0" w:space="0" w:color="auto"/>
        <w:right w:val="none" w:sz="0" w:space="0" w:color="auto"/>
      </w:divBdr>
    </w:div>
    <w:div w:id="420301712">
      <w:bodyDiv w:val="1"/>
      <w:marLeft w:val="0"/>
      <w:marRight w:val="0"/>
      <w:marTop w:val="0"/>
      <w:marBottom w:val="0"/>
      <w:divBdr>
        <w:top w:val="none" w:sz="0" w:space="0" w:color="auto"/>
        <w:left w:val="none" w:sz="0" w:space="0" w:color="auto"/>
        <w:bottom w:val="none" w:sz="0" w:space="0" w:color="auto"/>
        <w:right w:val="none" w:sz="0" w:space="0" w:color="auto"/>
      </w:divBdr>
    </w:div>
    <w:div w:id="1225681760">
      <w:bodyDiv w:val="1"/>
      <w:marLeft w:val="0"/>
      <w:marRight w:val="0"/>
      <w:marTop w:val="0"/>
      <w:marBottom w:val="0"/>
      <w:divBdr>
        <w:top w:val="none" w:sz="0" w:space="0" w:color="auto"/>
        <w:left w:val="none" w:sz="0" w:space="0" w:color="auto"/>
        <w:bottom w:val="none" w:sz="0" w:space="0" w:color="auto"/>
        <w:right w:val="none" w:sz="0" w:space="0" w:color="auto"/>
      </w:divBdr>
      <w:divsChild>
        <w:div w:id="917834601">
          <w:marLeft w:val="0"/>
          <w:marRight w:val="0"/>
          <w:marTop w:val="0"/>
          <w:marBottom w:val="0"/>
          <w:divBdr>
            <w:top w:val="none" w:sz="0" w:space="0" w:color="auto"/>
            <w:left w:val="none" w:sz="0" w:space="0" w:color="auto"/>
            <w:bottom w:val="none" w:sz="0" w:space="0" w:color="auto"/>
            <w:right w:val="none" w:sz="0" w:space="0" w:color="auto"/>
          </w:divBdr>
          <w:divsChild>
            <w:div w:id="1572229547">
              <w:marLeft w:val="0"/>
              <w:marRight w:val="0"/>
              <w:marTop w:val="0"/>
              <w:marBottom w:val="300"/>
              <w:divBdr>
                <w:top w:val="none" w:sz="0" w:space="0" w:color="auto"/>
                <w:left w:val="none" w:sz="0" w:space="0" w:color="auto"/>
                <w:bottom w:val="none" w:sz="0" w:space="0" w:color="auto"/>
                <w:right w:val="none" w:sz="0" w:space="0" w:color="auto"/>
              </w:divBdr>
              <w:divsChild>
                <w:div w:id="2112427439">
                  <w:marLeft w:val="0"/>
                  <w:marRight w:val="0"/>
                  <w:marTop w:val="0"/>
                  <w:marBottom w:val="0"/>
                  <w:divBdr>
                    <w:top w:val="none" w:sz="0" w:space="0" w:color="auto"/>
                    <w:left w:val="none" w:sz="0" w:space="0" w:color="auto"/>
                    <w:bottom w:val="none" w:sz="0" w:space="0" w:color="auto"/>
                    <w:right w:val="none" w:sz="0" w:space="0" w:color="auto"/>
                  </w:divBdr>
                  <w:divsChild>
                    <w:div w:id="501893158">
                      <w:marLeft w:val="150"/>
                      <w:marRight w:val="150"/>
                      <w:marTop w:val="0"/>
                      <w:marBottom w:val="0"/>
                      <w:divBdr>
                        <w:top w:val="none" w:sz="0" w:space="0" w:color="auto"/>
                        <w:left w:val="none" w:sz="0" w:space="0" w:color="auto"/>
                        <w:bottom w:val="none" w:sz="0" w:space="0" w:color="auto"/>
                        <w:right w:val="none" w:sz="0" w:space="0" w:color="auto"/>
                      </w:divBdr>
                      <w:divsChild>
                        <w:div w:id="1148353735">
                          <w:marLeft w:val="0"/>
                          <w:marRight w:val="0"/>
                          <w:marTop w:val="0"/>
                          <w:marBottom w:val="0"/>
                          <w:divBdr>
                            <w:top w:val="none" w:sz="0" w:space="0" w:color="auto"/>
                            <w:left w:val="none" w:sz="0" w:space="0" w:color="auto"/>
                            <w:bottom w:val="none" w:sz="0" w:space="0" w:color="auto"/>
                            <w:right w:val="none" w:sz="0" w:space="0" w:color="auto"/>
                          </w:divBdr>
                          <w:divsChild>
                            <w:div w:id="1767727873">
                              <w:marLeft w:val="0"/>
                              <w:marRight w:val="0"/>
                              <w:marTop w:val="0"/>
                              <w:marBottom w:val="0"/>
                              <w:divBdr>
                                <w:top w:val="none" w:sz="0" w:space="0" w:color="auto"/>
                                <w:left w:val="none" w:sz="0" w:space="0" w:color="auto"/>
                                <w:bottom w:val="none" w:sz="0" w:space="0" w:color="auto"/>
                                <w:right w:val="none" w:sz="0" w:space="0" w:color="auto"/>
                              </w:divBdr>
                              <w:divsChild>
                                <w:div w:id="850945988">
                                  <w:marLeft w:val="0"/>
                                  <w:marRight w:val="0"/>
                                  <w:marTop w:val="0"/>
                                  <w:marBottom w:val="0"/>
                                  <w:divBdr>
                                    <w:top w:val="none" w:sz="0" w:space="0" w:color="auto"/>
                                    <w:left w:val="none" w:sz="0" w:space="0" w:color="auto"/>
                                    <w:bottom w:val="none" w:sz="0" w:space="0" w:color="auto"/>
                                    <w:right w:val="none" w:sz="0" w:space="0" w:color="auto"/>
                                  </w:divBdr>
                                  <w:divsChild>
                                    <w:div w:id="956911493">
                                      <w:marLeft w:val="0"/>
                                      <w:marRight w:val="0"/>
                                      <w:marTop w:val="0"/>
                                      <w:marBottom w:val="0"/>
                                      <w:divBdr>
                                        <w:top w:val="none" w:sz="0" w:space="0" w:color="auto"/>
                                        <w:left w:val="none" w:sz="0" w:space="0" w:color="auto"/>
                                        <w:bottom w:val="none" w:sz="0" w:space="0" w:color="auto"/>
                                        <w:right w:val="none" w:sz="0" w:space="0" w:color="auto"/>
                                      </w:divBdr>
                                      <w:divsChild>
                                        <w:div w:id="1427531591">
                                          <w:marLeft w:val="0"/>
                                          <w:marRight w:val="0"/>
                                          <w:marTop w:val="0"/>
                                          <w:marBottom w:val="0"/>
                                          <w:divBdr>
                                            <w:top w:val="none" w:sz="0" w:space="0" w:color="auto"/>
                                            <w:left w:val="none" w:sz="0" w:space="0" w:color="auto"/>
                                            <w:bottom w:val="none" w:sz="0" w:space="0" w:color="auto"/>
                                            <w:right w:val="none" w:sz="0" w:space="0" w:color="auto"/>
                                          </w:divBdr>
                                          <w:divsChild>
                                            <w:div w:id="2106341886">
                                              <w:marLeft w:val="0"/>
                                              <w:marRight w:val="0"/>
                                              <w:marTop w:val="0"/>
                                              <w:marBottom w:val="0"/>
                                              <w:divBdr>
                                                <w:top w:val="none" w:sz="0" w:space="0" w:color="auto"/>
                                                <w:left w:val="none" w:sz="0" w:space="0" w:color="auto"/>
                                                <w:bottom w:val="none" w:sz="0" w:space="0" w:color="auto"/>
                                                <w:right w:val="none" w:sz="0" w:space="0" w:color="auto"/>
                                              </w:divBdr>
                                              <w:divsChild>
                                                <w:div w:id="1963534032">
                                                  <w:marLeft w:val="0"/>
                                                  <w:marRight w:val="0"/>
                                                  <w:marTop w:val="0"/>
                                                  <w:marBottom w:val="0"/>
                                                  <w:divBdr>
                                                    <w:top w:val="none" w:sz="0" w:space="0" w:color="auto"/>
                                                    <w:left w:val="none" w:sz="0" w:space="0" w:color="auto"/>
                                                    <w:bottom w:val="none" w:sz="0" w:space="0" w:color="auto"/>
                                                    <w:right w:val="none" w:sz="0" w:space="0" w:color="auto"/>
                                                  </w:divBdr>
                                                  <w:divsChild>
                                                    <w:div w:id="499588441">
                                                      <w:marLeft w:val="0"/>
                                                      <w:marRight w:val="0"/>
                                                      <w:marTop w:val="0"/>
                                                      <w:marBottom w:val="0"/>
                                                      <w:divBdr>
                                                        <w:top w:val="none" w:sz="0" w:space="0" w:color="auto"/>
                                                        <w:left w:val="none" w:sz="0" w:space="0" w:color="auto"/>
                                                        <w:bottom w:val="none" w:sz="0" w:space="0" w:color="auto"/>
                                                        <w:right w:val="none" w:sz="0" w:space="0" w:color="auto"/>
                                                      </w:divBdr>
                                                      <w:divsChild>
                                                        <w:div w:id="15341495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1106987">
      <w:bodyDiv w:val="1"/>
      <w:marLeft w:val="0"/>
      <w:marRight w:val="0"/>
      <w:marTop w:val="0"/>
      <w:marBottom w:val="0"/>
      <w:divBdr>
        <w:top w:val="none" w:sz="0" w:space="0" w:color="auto"/>
        <w:left w:val="none" w:sz="0" w:space="0" w:color="auto"/>
        <w:bottom w:val="none" w:sz="0" w:space="0" w:color="auto"/>
        <w:right w:val="none" w:sz="0" w:space="0" w:color="auto"/>
      </w:divBdr>
    </w:div>
    <w:div w:id="172375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ocal.gov.uk/sites/default/files/documents/Item%208%20-%2018%20Apr%20Spreading%20the%20risk%20of%20valuation%20loss%20%28SG%20version%29.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A50965CE08AD41B56FD88314CBAC2E" ma:contentTypeVersion="6" ma:contentTypeDescription="Create a new document." ma:contentTypeScope="" ma:versionID="62f50c69f32d521e35589e91c4a6addb">
  <xsd:schema xmlns:xsd="http://www.w3.org/2001/XMLSchema" xmlns:xs="http://www.w3.org/2001/XMLSchema" xmlns:p="http://schemas.microsoft.com/office/2006/metadata/properties" xmlns:ns2="33320922-3aa3-40cb-b26e-1bfebf933094" xmlns:ns3="846c3db3-041b-47fd-b02b-1debea70191d" targetNamespace="http://schemas.microsoft.com/office/2006/metadata/properties" ma:root="true" ma:fieldsID="47a187a7cfda0c944591fcc2efbe31d7" ns2:_="" ns3:_="">
    <xsd:import namespace="33320922-3aa3-40cb-b26e-1bfebf933094"/>
    <xsd:import namespace="846c3db3-041b-47fd-b02b-1debea70191d"/>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20922-3aa3-40cb-b26e-1bfebf93309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c3db3-041b-47fd-b02b-1debea7019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2.xml><?xml version="1.0" encoding="utf-8"?>
<ds:datastoreItem xmlns:ds="http://schemas.openxmlformats.org/officeDocument/2006/customXml" ds:itemID="{598D7630-B051-4721-8B12-11386215E68E}">
  <ds:schemaRefs>
    <ds:schemaRef ds:uri="http://schemas.openxmlformats.org/package/2006/metadata/core-properties"/>
    <ds:schemaRef ds:uri="http://purl.org/dc/dcmitype/"/>
    <ds:schemaRef ds:uri="http://purl.org/dc/elements/1.1/"/>
    <ds:schemaRef ds:uri="http://schemas.microsoft.com/office/2006/documentManagement/types"/>
    <ds:schemaRef ds:uri="33320922-3aa3-40cb-b26e-1bfebf933094"/>
    <ds:schemaRef ds:uri="http://purl.org/dc/terms/"/>
    <ds:schemaRef ds:uri="846c3db3-041b-47fd-b02b-1debea70191d"/>
    <ds:schemaRef ds:uri="http://schemas.microsoft.com/office/2006/metadata/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B9774C70-EB73-4BDA-91AB-D5F4D8AF6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20922-3aa3-40cb-b26e-1bfebf933094"/>
    <ds:schemaRef ds:uri="846c3db3-041b-47fd-b02b-1debea701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8CECF5-D983-4E53-A7FA-04D727193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7</TotalTime>
  <Pages>3</Pages>
  <Words>1654</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Submission template</vt:lpstr>
    </vt:vector>
  </TitlesOfParts>
  <Company>Asset Graphics</Company>
  <LinksUpToDate>false</LinksUpToDate>
  <CharactersWithSpaces>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Benn Cain</cp:lastModifiedBy>
  <cp:revision>7</cp:revision>
  <cp:lastPrinted>2017-03-24T09:16:00Z</cp:lastPrinted>
  <dcterms:created xsi:type="dcterms:W3CDTF">2018-06-25T10:32:00Z</dcterms:created>
  <dcterms:modified xsi:type="dcterms:W3CDTF">2018-06-25T10:41:00Z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0x01010036A50965CE08AD41B56FD88314CBAC2E</vt:lpwstr>
  </property>
  <property fmtid="{D5CDD505-2E9C-101B-9397-08002B2CF9AE}" pid="16" name="TaxKeyword">
    <vt:lpwstr/>
  </property>
  <property fmtid="{D5CDD505-2E9C-101B-9397-08002B2CF9AE}" pid="17" name="WorkflowChangePath">
    <vt:lpwstr>eaf71be1-9398-4955-9d49-ef6304b2b2cb,3;eaf71be1-9398-4955-9d49-ef6304b2b2cb,5;eaf71be1-9398-4955-9d49-ef6304b2b2cb,11;eaf71be1-9398-4955-9d49-ef6304b2b2cb,14;eaf71be1-9398-4955-9d49-ef6304b2b2cb,27;eaf71be1-9398-4955-9d49-ef6304b2b2cb,31;eaf71be1-9398-495</vt:lpwstr>
  </property>
</Properties>
</file>